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3" w:rsidRDefault="00CD7203">
      <w:pPr>
        <w:ind w:left="3540" w:firstLine="708"/>
        <w:rPr>
          <w:b/>
        </w:rPr>
      </w:pPr>
    </w:p>
    <w:p w:rsidR="00CD7203" w:rsidRDefault="00DC306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ge">
              <wp:posOffset>333375</wp:posOffset>
            </wp:positionV>
            <wp:extent cx="546100" cy="542925"/>
            <wp:effectExtent l="0" t="0" r="6350" b="9525"/>
            <wp:wrapTight wrapText="bothSides">
              <wp:wrapPolygon edited="0">
                <wp:start x="0" y="0"/>
                <wp:lineTo x="0" y="21221"/>
                <wp:lineTo x="21098" y="21221"/>
                <wp:lineTo x="21098" y="0"/>
                <wp:lineTo x="0" y="0"/>
              </wp:wrapPolygon>
            </wp:wrapTight>
            <wp:docPr id="2" name="Рисунок 4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203" w:rsidRDefault="00CD7203">
      <w:pPr>
        <w:jc w:val="center"/>
        <w:rPr>
          <w:b/>
        </w:rPr>
      </w:pPr>
      <w:r>
        <w:rPr>
          <w:b/>
        </w:rPr>
        <w:t>АДМИНИСТРАЦИЯ</w:t>
      </w:r>
      <w:r w:rsidRPr="00E623A3">
        <w:rPr>
          <w:b/>
        </w:rPr>
        <w:t xml:space="preserve"> </w:t>
      </w:r>
      <w:r>
        <w:rPr>
          <w:b/>
        </w:rPr>
        <w:t>МУНИЦИПАЛЬНОГО</w:t>
      </w:r>
      <w:r w:rsidRPr="00E623A3">
        <w:rPr>
          <w:b/>
        </w:rPr>
        <w:t xml:space="preserve"> </w:t>
      </w:r>
      <w:r>
        <w:rPr>
          <w:b/>
        </w:rPr>
        <w:t>ОБРАЗОВАНИЯ</w:t>
      </w:r>
      <w:proofErr w:type="gramStart"/>
      <w:r>
        <w:rPr>
          <w:b/>
        </w:rPr>
        <w:t>«К</w:t>
      </w:r>
      <w:proofErr w:type="gramEnd"/>
      <w:r>
        <w:rPr>
          <w:b/>
        </w:rPr>
        <w:t>ЕЗСКИЙ РАЙОН»</w:t>
      </w:r>
    </w:p>
    <w:p w:rsidR="00CD7203" w:rsidRDefault="00CD720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D7203" w:rsidRDefault="00CD7203">
      <w:pPr>
        <w:rPr>
          <w:b/>
          <w:bCs/>
        </w:rPr>
      </w:pPr>
    </w:p>
    <w:p w:rsidR="00CD7203" w:rsidRDefault="00CD7203">
      <w:pPr>
        <w:spacing w:line="218" w:lineRule="auto"/>
        <w:ind w:right="-22"/>
      </w:pPr>
    </w:p>
    <w:p w:rsidR="00CD7203" w:rsidRDefault="00CD7203">
      <w:pPr>
        <w:pStyle w:val="FR1"/>
        <w:ind w:right="261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CD7203" w:rsidRDefault="00CD7203">
      <w:pPr>
        <w:pStyle w:val="FR1"/>
        <w:ind w:right="261"/>
        <w:rPr>
          <w:b/>
          <w:bCs/>
          <w:sz w:val="16"/>
        </w:rPr>
      </w:pPr>
    </w:p>
    <w:p w:rsidR="00CD7203" w:rsidRDefault="00CD7203">
      <w:pPr>
        <w:pStyle w:val="FR1"/>
        <w:ind w:right="261"/>
        <w:rPr>
          <w:b/>
          <w:bCs/>
          <w:sz w:val="16"/>
        </w:rPr>
      </w:pPr>
    </w:p>
    <w:p w:rsidR="00CD7203" w:rsidRDefault="00CD7203"/>
    <w:p w:rsidR="00CD7203" w:rsidRDefault="00DC306A" w:rsidP="00DC306A">
      <w:pPr>
        <w:jc w:val="center"/>
        <w:rPr>
          <w:sz w:val="20"/>
        </w:rPr>
      </w:pPr>
      <w:r>
        <w:t>от 23 октября</w:t>
      </w:r>
      <w:r w:rsidR="00CD7203">
        <w:t xml:space="preserve"> 2017 года</w:t>
      </w:r>
      <w:r>
        <w:t xml:space="preserve">                                                                                                             № 1300</w:t>
      </w:r>
      <w:r w:rsidR="00CD7203">
        <w:t xml:space="preserve">                                                                                               </w:t>
      </w:r>
      <w:r>
        <w:t xml:space="preserve">                       </w:t>
      </w:r>
      <w:r w:rsidR="00CD7203">
        <w:rPr>
          <w:sz w:val="20"/>
        </w:rPr>
        <w:t xml:space="preserve">п. </w:t>
      </w:r>
      <w:proofErr w:type="spellStart"/>
      <w:r w:rsidR="00CD7203">
        <w:rPr>
          <w:sz w:val="20"/>
        </w:rPr>
        <w:t>Кез</w:t>
      </w:r>
      <w:proofErr w:type="spellEnd"/>
    </w:p>
    <w:p w:rsidR="00CD7203" w:rsidRDefault="00CD7203">
      <w:pPr>
        <w:rPr>
          <w:sz w:val="20"/>
        </w:rPr>
      </w:pPr>
    </w:p>
    <w:p w:rsidR="00CD7203" w:rsidRDefault="00DC306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67945</wp:posOffset>
                </wp:positionV>
                <wp:extent cx="2995930" cy="2057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203" w:rsidRDefault="00CD7203"/>
                          <w:p w:rsidR="00CD7203" w:rsidRDefault="00CD7203" w:rsidP="00E27823">
                            <w:pPr>
                              <w:jc w:val="both"/>
                            </w:pPr>
                            <w:r>
                              <w:t>О создании рабочей группы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05pt;margin-top:5.35pt;width:235.9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5IhQ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" stroked="f">
                <v:textbox>
                  <w:txbxContent>
                    <w:p w:rsidR="00CD7203" w:rsidRDefault="00CD7203"/>
                    <w:p w:rsidR="00CD7203" w:rsidRDefault="00CD7203" w:rsidP="00E27823">
                      <w:pPr>
                        <w:jc w:val="both"/>
                      </w:pPr>
                      <w:bookmarkStart w:id="1" w:name="_GoBack"/>
                      <w:r>
                        <w:t>О создании рабочей группы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7203" w:rsidRDefault="00CD7203">
      <w:pPr>
        <w:rPr>
          <w:sz w:val="20"/>
        </w:rPr>
      </w:pPr>
    </w:p>
    <w:p w:rsidR="00CD7203" w:rsidRDefault="00CD7203"/>
    <w:p w:rsidR="00CD7203" w:rsidRDefault="00CD7203"/>
    <w:p w:rsidR="00CD7203" w:rsidRDefault="00CD7203"/>
    <w:p w:rsidR="00CD7203" w:rsidRDefault="00CD7203"/>
    <w:p w:rsidR="00CD7203" w:rsidRDefault="00CD7203" w:rsidP="00525B5C">
      <w:pPr>
        <w:jc w:val="both"/>
      </w:pPr>
      <w:r>
        <w:tab/>
      </w: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</w:p>
    <w:p w:rsidR="00CD7203" w:rsidRDefault="00CD7203" w:rsidP="00EA54E9">
      <w:pPr>
        <w:autoSpaceDE w:val="0"/>
        <w:autoSpaceDN w:val="0"/>
        <w:adjustRightInd w:val="0"/>
        <w:ind w:firstLine="540"/>
        <w:jc w:val="both"/>
      </w:pPr>
      <w:r>
        <w:t xml:space="preserve">Согласно Земельному Кодексу РФ, </w:t>
      </w:r>
      <w:r w:rsidRPr="00D83C81">
        <w:t>на основании Федерального закона</w:t>
      </w:r>
      <w:r>
        <w:t xml:space="preserve"> от 06.10.2003 </w:t>
      </w:r>
      <w:r w:rsidR="00DC306A">
        <w:t>года</w:t>
      </w:r>
    </w:p>
    <w:p w:rsidR="00CD7203" w:rsidRPr="00E3185B" w:rsidRDefault="00CD7203" w:rsidP="00DC306A">
      <w:pPr>
        <w:autoSpaceDE w:val="0"/>
        <w:autoSpaceDN w:val="0"/>
        <w:adjustRightInd w:val="0"/>
        <w:jc w:val="both"/>
        <w:rPr>
          <w:b/>
        </w:rPr>
      </w:pPr>
      <w:r>
        <w:t>№</w:t>
      </w:r>
      <w:r w:rsidRPr="00D83C81">
        <w:t xml:space="preserve"> 131-ФЗ </w:t>
      </w:r>
      <w:r>
        <w:t>«</w:t>
      </w:r>
      <w:r w:rsidRPr="00D83C81">
        <w:t>Об общих принципах организации местного самоуправления в Российской Федерации</w:t>
      </w:r>
      <w:r>
        <w:t>»</w:t>
      </w:r>
      <w:r w:rsidRPr="00D83C81">
        <w:t>,</w:t>
      </w:r>
      <w:r>
        <w:t xml:space="preserve"> </w:t>
      </w:r>
      <w:r w:rsidRPr="002F6718">
        <w:t>в</w:t>
      </w:r>
      <w:r>
        <w:rPr>
          <w:shd w:val="clear" w:color="auto" w:fill="FFFFFF"/>
        </w:rPr>
        <w:t xml:space="preserve"> целях увеличения налогооблагаемой базы по земельному налогу и налогу на имущество физических лиц</w:t>
      </w:r>
      <w:r w:rsidRPr="00832A28">
        <w:rPr>
          <w:shd w:val="clear" w:color="auto" w:fill="FFFFFF"/>
        </w:rPr>
        <w:t>,</w:t>
      </w:r>
      <w:r>
        <w:rPr>
          <w:shd w:val="clear" w:color="auto" w:fill="FFFFFF"/>
        </w:rPr>
        <w:t xml:space="preserve"> руководствуясь Уставом муниципального образования </w:t>
      </w:r>
      <w:r w:rsidR="00DC306A">
        <w:rPr>
          <w:shd w:val="clear" w:color="auto" w:fill="FFFFFF"/>
        </w:rPr>
        <w:t xml:space="preserve">              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Кезский</w:t>
      </w:r>
      <w:proofErr w:type="spellEnd"/>
      <w:r w:rsidR="00B23B3A">
        <w:rPr>
          <w:shd w:val="clear" w:color="auto" w:fill="FFFFFF"/>
        </w:rPr>
        <w:t xml:space="preserve"> </w:t>
      </w:r>
      <w:r w:rsidRPr="00D83C81">
        <w:rPr>
          <w:shd w:val="clear" w:color="auto" w:fill="FFFFFF"/>
        </w:rPr>
        <w:t>район</w:t>
      </w:r>
      <w:r>
        <w:rPr>
          <w:shd w:val="clear" w:color="auto" w:fill="FFFFFF"/>
        </w:rPr>
        <w:t>»</w:t>
      </w:r>
      <w:r w:rsidRPr="00D83C81">
        <w:t>,</w:t>
      </w:r>
      <w:r w:rsidR="00696D84">
        <w:t xml:space="preserve"> </w:t>
      </w:r>
      <w:bookmarkStart w:id="0" w:name="_GoBack"/>
      <w:bookmarkEnd w:id="0"/>
      <w:r>
        <w:rPr>
          <w:b/>
        </w:rPr>
        <w:t>ПОСТАНОВЛЯЮ</w:t>
      </w:r>
      <w:r w:rsidRPr="00E3185B">
        <w:rPr>
          <w:b/>
        </w:rPr>
        <w:t>:</w:t>
      </w:r>
    </w:p>
    <w:p w:rsidR="00CD7203" w:rsidRDefault="00CD7203" w:rsidP="009510AA">
      <w:pPr>
        <w:tabs>
          <w:tab w:val="left" w:pos="993"/>
        </w:tabs>
        <w:ind w:firstLine="426"/>
        <w:jc w:val="both"/>
      </w:pPr>
      <w:r>
        <w:rPr>
          <w:shd w:val="clear" w:color="auto" w:fill="FFFFFF"/>
        </w:rPr>
        <w:t xml:space="preserve">1. </w:t>
      </w:r>
      <w:r w:rsidRPr="001243D4">
        <w:rPr>
          <w:shd w:val="clear" w:color="auto" w:fill="FFFFFF"/>
        </w:rPr>
        <w:t xml:space="preserve">Создать рабочую группу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</w:t>
      </w:r>
      <w:r w:rsidRPr="00554C80">
        <w:rPr>
          <w:shd w:val="clear" w:color="auto" w:fill="FFFFFF"/>
        </w:rPr>
        <w:t xml:space="preserve">пользователями </w:t>
      </w:r>
      <w:r w:rsidRPr="00554C80">
        <w:t>(собственниками)</w:t>
      </w:r>
      <w:r>
        <w:t xml:space="preserve"> такого земельного участка (объекта недвижимости) в составе:</w:t>
      </w:r>
    </w:p>
    <w:p w:rsidR="00CD7203" w:rsidRDefault="00CD7203" w:rsidP="009510AA">
      <w:pPr>
        <w:pStyle w:val="a6"/>
        <w:tabs>
          <w:tab w:val="left" w:pos="993"/>
        </w:tabs>
        <w:ind w:firstLine="426"/>
        <w:jc w:val="both"/>
      </w:pPr>
      <w:proofErr w:type="spellStart"/>
      <w:r w:rsidRPr="00BA19BE">
        <w:t>Ковязина</w:t>
      </w:r>
      <w:proofErr w:type="spellEnd"/>
      <w:r w:rsidRPr="00BA19BE">
        <w:t xml:space="preserve"> О.И. –начальник отдела экономики, анализа, прогноза и инвестиций</w:t>
      </w:r>
      <w:r>
        <w:t xml:space="preserve"> </w:t>
      </w:r>
      <w:r w:rsidRPr="00BA19BE">
        <w:t>Администрации муниципального образования «</w:t>
      </w:r>
      <w:proofErr w:type="spellStart"/>
      <w:r w:rsidRPr="00BA19BE">
        <w:t>Кезский</w:t>
      </w:r>
      <w:proofErr w:type="spellEnd"/>
      <w:r w:rsidRPr="00BA19BE">
        <w:t xml:space="preserve"> район»,</w:t>
      </w:r>
      <w:r>
        <w:t xml:space="preserve"> председатель рабочей группы;</w:t>
      </w:r>
    </w:p>
    <w:p w:rsidR="00CD7203" w:rsidRDefault="00CD7203" w:rsidP="009510AA">
      <w:pPr>
        <w:pStyle w:val="a6"/>
        <w:tabs>
          <w:tab w:val="left" w:pos="993"/>
        </w:tabs>
        <w:ind w:firstLine="426"/>
        <w:jc w:val="both"/>
      </w:pPr>
      <w:proofErr w:type="spellStart"/>
      <w:r w:rsidRPr="00554C80">
        <w:t>Лекомцева</w:t>
      </w:r>
      <w:proofErr w:type="spellEnd"/>
      <w:r w:rsidRPr="00554C80">
        <w:t xml:space="preserve"> Н.В. – главный специалист-эксперт отдела экономики, анализа, прогноза и инвестиций, секретарь рабочей группы;</w:t>
      </w:r>
    </w:p>
    <w:p w:rsidR="00CD7203" w:rsidRDefault="00CD7203" w:rsidP="009510AA">
      <w:pPr>
        <w:pStyle w:val="a6"/>
        <w:tabs>
          <w:tab w:val="left" w:pos="993"/>
        </w:tabs>
        <w:ind w:firstLine="426"/>
        <w:jc w:val="both"/>
      </w:pPr>
      <w:proofErr w:type="spellStart"/>
      <w:r>
        <w:t>Габова</w:t>
      </w:r>
      <w:proofErr w:type="spellEnd"/>
      <w:r>
        <w:t xml:space="preserve"> Н.А- главный специалист-эксперт отдела имущественных отношений Администрации муниципального образования «</w:t>
      </w:r>
      <w:proofErr w:type="spellStart"/>
      <w:r>
        <w:t>Кезский</w:t>
      </w:r>
      <w:proofErr w:type="spellEnd"/>
      <w:r>
        <w:t xml:space="preserve"> район»;</w:t>
      </w:r>
    </w:p>
    <w:p w:rsidR="00CD7203" w:rsidRPr="00554C80" w:rsidRDefault="00CD7203" w:rsidP="009510AA">
      <w:pPr>
        <w:pStyle w:val="a6"/>
        <w:tabs>
          <w:tab w:val="left" w:pos="993"/>
        </w:tabs>
        <w:ind w:firstLine="426"/>
        <w:jc w:val="both"/>
      </w:pPr>
      <w:proofErr w:type="spellStart"/>
      <w:r>
        <w:t>Бутолин</w:t>
      </w:r>
      <w:proofErr w:type="spellEnd"/>
      <w:r>
        <w:t xml:space="preserve"> Д.Н. - заместитель начальника Управления сельского хозяйства и продовольствия Администрации муниципального образования «</w:t>
      </w:r>
      <w:proofErr w:type="spellStart"/>
      <w:r>
        <w:t>Кезский</w:t>
      </w:r>
      <w:proofErr w:type="spellEnd"/>
      <w:r>
        <w:t xml:space="preserve"> район»;</w:t>
      </w:r>
    </w:p>
    <w:p w:rsidR="00CD7203" w:rsidRDefault="00CD7203" w:rsidP="009510AA">
      <w:pPr>
        <w:tabs>
          <w:tab w:val="left" w:pos="993"/>
        </w:tabs>
        <w:ind w:firstLine="426"/>
        <w:jc w:val="both"/>
      </w:pPr>
      <w:r>
        <w:t>ответственные специалисты</w:t>
      </w:r>
      <w:r w:rsidRPr="000B05F0">
        <w:t xml:space="preserve"> муниципальных образований </w:t>
      </w:r>
      <w:r>
        <w:t xml:space="preserve">– сельских </w:t>
      </w:r>
      <w:r w:rsidRPr="000B05F0">
        <w:t>поселений муниципального образования «</w:t>
      </w:r>
      <w:proofErr w:type="spellStart"/>
      <w:r w:rsidRPr="000B05F0">
        <w:t>Кезский</w:t>
      </w:r>
      <w:proofErr w:type="spellEnd"/>
      <w:r w:rsidRPr="000B05F0">
        <w:t xml:space="preserve"> район» </w:t>
      </w:r>
      <w:r>
        <w:t>(по согласованию).</w:t>
      </w:r>
    </w:p>
    <w:p w:rsidR="00CD7203" w:rsidRDefault="00CD7203" w:rsidP="00FE0B68">
      <w:pPr>
        <w:tabs>
          <w:tab w:val="left" w:pos="993"/>
        </w:tabs>
        <w:ind w:firstLine="426"/>
        <w:jc w:val="both"/>
        <w:rPr>
          <w:shd w:val="clear" w:color="auto" w:fill="FFFFFF"/>
        </w:rPr>
      </w:pPr>
      <w:r>
        <w:t>2. Утвердить Положение о рабочей группе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</w:t>
      </w:r>
      <w:r>
        <w:rPr>
          <w:shd w:val="clear" w:color="auto" w:fill="FFFFFF"/>
        </w:rPr>
        <w:t>.</w:t>
      </w:r>
    </w:p>
    <w:p w:rsidR="00CD7203" w:rsidRDefault="00CD7203" w:rsidP="009510AA">
      <w:pPr>
        <w:tabs>
          <w:tab w:val="left" w:pos="993"/>
        </w:tabs>
        <w:ind w:firstLine="426"/>
        <w:jc w:val="both"/>
      </w:pPr>
    </w:p>
    <w:p w:rsidR="00CD7203" w:rsidRDefault="00CD7203" w:rsidP="009510AA">
      <w:pPr>
        <w:tabs>
          <w:tab w:val="left" w:pos="993"/>
        </w:tabs>
        <w:ind w:firstLine="426"/>
        <w:jc w:val="both"/>
        <w:rPr>
          <w:shd w:val="clear" w:color="auto" w:fill="FFFFFF"/>
        </w:rPr>
      </w:pPr>
      <w:r>
        <w:t xml:space="preserve">3.  Предоставить  результаты инвентаризации земельных участков и объектов недвижимости, не поставленных на государственный кадастровый учет, либо состоящих на </w:t>
      </w:r>
      <w:r>
        <w:lastRenderedPageBreak/>
        <w:t>кадастровом учете, без оформления соответствующего права пользователями (собственниками) такого земельного участка (объекта недвижимости)</w:t>
      </w:r>
      <w:r>
        <w:rPr>
          <w:shd w:val="clear" w:color="auto" w:fill="FFFFFF"/>
        </w:rPr>
        <w:t xml:space="preserve"> в срок до 31.12.2017 г.</w:t>
      </w:r>
    </w:p>
    <w:p w:rsidR="00CD7203" w:rsidRDefault="00CD7203" w:rsidP="009510AA">
      <w:pPr>
        <w:tabs>
          <w:tab w:val="left" w:pos="993"/>
        </w:tabs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Рекомендовать Главам муниципальных образований – сельских поселений </w:t>
      </w:r>
      <w:r w:rsidRPr="000B05F0">
        <w:t>муниципального образования «</w:t>
      </w:r>
      <w:proofErr w:type="spellStart"/>
      <w:r w:rsidRPr="000B05F0">
        <w:t>Кезский</w:t>
      </w:r>
      <w:proofErr w:type="spellEnd"/>
      <w:r w:rsidRPr="000B05F0">
        <w:t xml:space="preserve"> район»</w:t>
      </w:r>
      <w:r>
        <w:t xml:space="preserve"> назначить ответственных специалистов для участия в работе рабочей группы, указанной в пункте 1 настоящего постановления.</w:t>
      </w:r>
    </w:p>
    <w:p w:rsidR="00CD7203" w:rsidRDefault="00CD7203" w:rsidP="009510AA">
      <w:pPr>
        <w:tabs>
          <w:tab w:val="left" w:pos="993"/>
        </w:tabs>
        <w:ind w:firstLine="426"/>
        <w:jc w:val="both"/>
        <w:rPr>
          <w:color w:val="2D2D2D"/>
          <w:spacing w:val="2"/>
          <w:shd w:val="clear" w:color="auto" w:fill="FFFFFF"/>
        </w:rPr>
      </w:pPr>
      <w:r>
        <w:rPr>
          <w:shd w:val="clear" w:color="auto" w:fill="FFFFFF"/>
        </w:rPr>
        <w:t>5</w:t>
      </w:r>
      <w:r w:rsidRPr="00E40747">
        <w:rPr>
          <w:shd w:val="clear" w:color="auto" w:fill="FFFFFF"/>
        </w:rPr>
        <w:t xml:space="preserve">. </w:t>
      </w:r>
      <w:proofErr w:type="gramStart"/>
      <w:r w:rsidRPr="00E40747">
        <w:rPr>
          <w:color w:val="2D2D2D"/>
          <w:spacing w:val="2"/>
          <w:shd w:val="clear" w:color="auto" w:fill="FFFFFF"/>
        </w:rPr>
        <w:t>Контроль з</w:t>
      </w:r>
      <w:r>
        <w:rPr>
          <w:color w:val="2D2D2D"/>
          <w:spacing w:val="2"/>
          <w:shd w:val="clear" w:color="auto" w:fill="FFFFFF"/>
        </w:rPr>
        <w:t>а</w:t>
      </w:r>
      <w:proofErr w:type="gramEnd"/>
      <w:r>
        <w:rPr>
          <w:color w:val="2D2D2D"/>
          <w:spacing w:val="2"/>
          <w:shd w:val="clear" w:color="auto" w:fill="FFFFFF"/>
        </w:rPr>
        <w:t xml:space="preserve"> исполнением настоящего постановления</w:t>
      </w:r>
      <w:r w:rsidRPr="00E40747">
        <w:rPr>
          <w:color w:val="2D2D2D"/>
          <w:spacing w:val="2"/>
          <w:shd w:val="clear" w:color="auto" w:fill="FFFFFF"/>
        </w:rPr>
        <w:t xml:space="preserve"> возложить на </w:t>
      </w:r>
      <w:r>
        <w:rPr>
          <w:color w:val="2D2D2D"/>
          <w:spacing w:val="2"/>
          <w:shd w:val="clear" w:color="auto" w:fill="FFFFFF"/>
        </w:rPr>
        <w:t>первого заместителя главы Администрации муниципального образования «</w:t>
      </w:r>
      <w:proofErr w:type="spellStart"/>
      <w:r>
        <w:rPr>
          <w:color w:val="2D2D2D"/>
          <w:spacing w:val="2"/>
          <w:shd w:val="clear" w:color="auto" w:fill="FFFFFF"/>
        </w:rPr>
        <w:t>Кезский</w:t>
      </w:r>
      <w:proofErr w:type="spellEnd"/>
      <w:r>
        <w:rPr>
          <w:color w:val="2D2D2D"/>
          <w:spacing w:val="2"/>
          <w:shd w:val="clear" w:color="auto" w:fill="FFFFFF"/>
        </w:rPr>
        <w:t xml:space="preserve"> район» по экономике, строительству и ЖКХ Ефремова Д.А.</w:t>
      </w:r>
    </w:p>
    <w:p w:rsidR="00CD7203" w:rsidRDefault="00CD7203" w:rsidP="00554C80">
      <w:pPr>
        <w:pStyle w:val="a6"/>
        <w:ind w:firstLine="567"/>
        <w:jc w:val="both"/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</w:pPr>
    </w:p>
    <w:p w:rsidR="00CD7203" w:rsidRDefault="00CD7203" w:rsidP="00C42D02">
      <w:pPr>
        <w:pStyle w:val="a6"/>
        <w:jc w:val="both"/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</w:pPr>
    </w:p>
    <w:p w:rsidR="00CD7203" w:rsidRDefault="00CD7203" w:rsidP="00E40747">
      <w:pPr>
        <w:pStyle w:val="a6"/>
      </w:pPr>
      <w:r>
        <w:t>И.о. Главы муниципального образования</w:t>
      </w:r>
    </w:p>
    <w:p w:rsidR="00CD7203" w:rsidRDefault="00CD7203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Ефремов</w:t>
      </w:r>
    </w:p>
    <w:p w:rsidR="00CD7203" w:rsidRDefault="00CD7203"/>
    <w:p w:rsidR="00CD7203" w:rsidRDefault="00CD7203"/>
    <w:p w:rsidR="00CD7203" w:rsidRDefault="00CD7203"/>
    <w:p w:rsidR="00CD7203" w:rsidRDefault="00CD7203"/>
    <w:p w:rsidR="00CD7203" w:rsidRDefault="00CD7203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CD7203" w:rsidRDefault="00CD7203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DC306A" w:rsidRDefault="00DC306A" w:rsidP="008811C1">
      <w:pPr>
        <w:jc w:val="right"/>
        <w:rPr>
          <w:color w:val="000000"/>
        </w:rPr>
      </w:pPr>
    </w:p>
    <w:p w:rsidR="00CD7203" w:rsidRPr="00BA19BE" w:rsidRDefault="00CD7203" w:rsidP="00DC306A">
      <w:pPr>
        <w:pStyle w:val="a6"/>
        <w:ind w:left="5245"/>
      </w:pPr>
      <w:r>
        <w:lastRenderedPageBreak/>
        <w:t>Приложение № 1</w:t>
      </w:r>
    </w:p>
    <w:p w:rsidR="00CD7203" w:rsidRPr="00BA19BE" w:rsidRDefault="00CD7203" w:rsidP="00DC306A">
      <w:pPr>
        <w:pStyle w:val="a6"/>
        <w:ind w:left="5245"/>
      </w:pPr>
      <w:r w:rsidRPr="00BA19BE">
        <w:t>к постановлению администрации</w:t>
      </w:r>
    </w:p>
    <w:p w:rsidR="00CD7203" w:rsidRPr="00BA19BE" w:rsidRDefault="00CD7203" w:rsidP="00DC306A">
      <w:pPr>
        <w:pStyle w:val="a6"/>
        <w:ind w:left="5245"/>
      </w:pPr>
      <w:r>
        <w:t>муниципального образования «</w:t>
      </w:r>
      <w:proofErr w:type="spellStart"/>
      <w:r>
        <w:t>Кезский</w:t>
      </w:r>
      <w:proofErr w:type="spellEnd"/>
      <w:r>
        <w:t xml:space="preserve"> район»</w:t>
      </w:r>
    </w:p>
    <w:p w:rsidR="00CD7203" w:rsidRPr="00BA19BE" w:rsidRDefault="00DC306A" w:rsidP="00DC306A">
      <w:pPr>
        <w:pStyle w:val="a6"/>
        <w:ind w:left="5245"/>
      </w:pPr>
      <w:r>
        <w:t xml:space="preserve">от 23 октября </w:t>
      </w:r>
      <w:r w:rsidR="00CD7203" w:rsidRPr="00BA19BE">
        <w:t>201</w:t>
      </w:r>
      <w:r w:rsidR="00CD7203">
        <w:t xml:space="preserve">7 </w:t>
      </w:r>
      <w:r w:rsidR="00CD7203" w:rsidRPr="00BA19BE">
        <w:t>г</w:t>
      </w:r>
      <w:r>
        <w:t>ода № 1300</w:t>
      </w:r>
    </w:p>
    <w:p w:rsidR="00CD7203" w:rsidRDefault="00CD7203" w:rsidP="00E03F46">
      <w:pPr>
        <w:ind w:left="1560" w:hanging="1560"/>
        <w:jc w:val="both"/>
      </w:pPr>
    </w:p>
    <w:p w:rsidR="00CD7203" w:rsidRDefault="00CD7203" w:rsidP="00D83C81">
      <w:pPr>
        <w:rPr>
          <w:color w:val="000000"/>
        </w:rPr>
      </w:pPr>
    </w:p>
    <w:p w:rsidR="00CD7203" w:rsidRPr="00BA19BE" w:rsidRDefault="00CD7203" w:rsidP="00E03F46">
      <w:pPr>
        <w:pStyle w:val="a6"/>
        <w:jc w:val="center"/>
        <w:rPr>
          <w:b/>
        </w:rPr>
      </w:pPr>
      <w:r w:rsidRPr="00072432">
        <w:rPr>
          <w:rStyle w:val="a9"/>
          <w:color w:val="000000"/>
        </w:rPr>
        <w:t>ПОЛОЖЕНИЕ</w:t>
      </w:r>
      <w:r w:rsidRPr="00072432">
        <w:rPr>
          <w:color w:val="000000"/>
        </w:rPr>
        <w:br/>
      </w:r>
      <w:r>
        <w:rPr>
          <w:b/>
        </w:rPr>
        <w:t>о  рабочей группе</w:t>
      </w:r>
      <w:r w:rsidRPr="00BA19BE">
        <w:rPr>
          <w:b/>
        </w:rPr>
        <w:t xml:space="preserve"> по проведению инвентаризации </w:t>
      </w:r>
      <w:r>
        <w:rPr>
          <w:b/>
        </w:rPr>
        <w:t>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</w:t>
      </w:r>
    </w:p>
    <w:p w:rsidR="00CD7203" w:rsidRDefault="00CD7203" w:rsidP="00E03F4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7203" w:rsidRPr="00CE18F1" w:rsidRDefault="00CD7203" w:rsidP="00E03F46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E18F1">
        <w:rPr>
          <w:b/>
          <w:color w:val="000000"/>
        </w:rPr>
        <w:t>1. Общие положения</w:t>
      </w:r>
    </w:p>
    <w:p w:rsidR="00CD7203" w:rsidRDefault="00CD7203" w:rsidP="005F378D">
      <w:pPr>
        <w:pStyle w:val="a6"/>
        <w:ind w:firstLine="567"/>
        <w:jc w:val="both"/>
      </w:pPr>
      <w:r w:rsidRPr="00072432">
        <w:t xml:space="preserve">1.1. </w:t>
      </w:r>
      <w:proofErr w:type="gramStart"/>
      <w:r w:rsidRPr="00072432">
        <w:t xml:space="preserve">Рабочая группа </w:t>
      </w:r>
      <w:r w:rsidRPr="009E2AFB">
        <w:t>по проведению инвентаризации земельных участков и объектов недвижимости, не поставленных на государственный кадастровый учет, либо</w:t>
      </w:r>
      <w:r>
        <w:t xml:space="preserve"> </w:t>
      </w:r>
      <w:r w:rsidRPr="009E2AFB">
        <w:t>состоящих на кадастровом учете, без оформления соответствующего</w:t>
      </w:r>
      <w:r>
        <w:t xml:space="preserve"> </w:t>
      </w:r>
      <w:r w:rsidRPr="009E2AFB">
        <w:t>права пользователями (собственниками) такого земельного участка (объекта недвижимости)</w:t>
      </w:r>
      <w:r>
        <w:t xml:space="preserve"> (далее – рабочая группа) </w:t>
      </w:r>
      <w:r w:rsidRPr="00072432">
        <w:t>создается с целью</w:t>
      </w:r>
      <w:r>
        <w:t xml:space="preserve"> проведения работы, направленной на </w:t>
      </w:r>
      <w:r>
        <w:rPr>
          <w:shd w:val="clear" w:color="auto" w:fill="FFFFFF"/>
        </w:rPr>
        <w:t>увеличение налогооблагаемой базы по земельному налогу и налогу на имущество физических лиц</w:t>
      </w:r>
      <w:r>
        <w:t>, за счет постановки на кадастровый учет</w:t>
      </w:r>
      <w:proofErr w:type="gramEnd"/>
      <w:r>
        <w:t xml:space="preserve"> земельных участков и объектов недвижимости и (или) государственной регистрации соответствующих прав пользователей (собственников) таких участков, а также выявления земельных участков и объектов недвижимости, которые могут быть выставлены на торги в соответствии с действующим законодательством РФ.</w:t>
      </w:r>
    </w:p>
    <w:p w:rsidR="00CD7203" w:rsidRDefault="00CD7203" w:rsidP="005F378D">
      <w:pPr>
        <w:pStyle w:val="a6"/>
        <w:ind w:firstLine="567"/>
        <w:jc w:val="both"/>
      </w:pPr>
      <w:r>
        <w:t xml:space="preserve">1.2. </w:t>
      </w:r>
      <w:r w:rsidRPr="00072432">
        <w:t>Рабочая группа образуется на период проведения работ по инвентаризации</w:t>
      </w:r>
      <w:r w:rsidRPr="00CC50F5">
        <w:t xml:space="preserve"> </w:t>
      </w:r>
      <w:r w:rsidRPr="009E2AFB">
        <w:t>земельных у</w:t>
      </w:r>
      <w:r>
        <w:t>частков и объектов недвижимости.</w:t>
      </w:r>
    </w:p>
    <w:p w:rsidR="00CD7203" w:rsidRPr="00072432" w:rsidRDefault="00CD7203" w:rsidP="005F378D">
      <w:pPr>
        <w:pStyle w:val="a6"/>
        <w:ind w:firstLine="567"/>
        <w:jc w:val="both"/>
      </w:pPr>
      <w:r>
        <w:t>1.3. Рабочая группа</w:t>
      </w:r>
      <w:r w:rsidRPr="00072432">
        <w:t xml:space="preserve"> в своей деятельности руководствуется Конституцией Российской Федерации, законодательством Российской Федерации и законодательством </w:t>
      </w:r>
      <w:r>
        <w:t>Удмуртской Республики, нормативными правовыми актами органов местного самоуправления муниципального образования «</w:t>
      </w:r>
      <w:proofErr w:type="spellStart"/>
      <w:r>
        <w:t>Кезский</w:t>
      </w:r>
      <w:proofErr w:type="spellEnd"/>
      <w:r>
        <w:t xml:space="preserve"> район»</w:t>
      </w:r>
      <w:r w:rsidRPr="00072432">
        <w:t xml:space="preserve"> и настоящим Положением. </w:t>
      </w:r>
    </w:p>
    <w:p w:rsidR="00CD7203" w:rsidRPr="008B55A4" w:rsidRDefault="00CD7203" w:rsidP="005F378D">
      <w:pPr>
        <w:pStyle w:val="a8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color w:val="000000"/>
        </w:rPr>
        <w:t xml:space="preserve"> 2. Основные задачи и функции рабочей</w:t>
      </w:r>
      <w:r w:rsidRPr="008B55A4">
        <w:rPr>
          <w:b/>
          <w:color w:val="000000"/>
        </w:rPr>
        <w:t xml:space="preserve"> группы </w:t>
      </w:r>
    </w:p>
    <w:p w:rsidR="00CD7203" w:rsidRPr="008B55A4" w:rsidRDefault="00CD7203" w:rsidP="005F37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B55A4">
        <w:rPr>
          <w:color w:val="000000"/>
        </w:rPr>
        <w:t>2.1. Основными задачами рабочей группы</w:t>
      </w:r>
      <w:r>
        <w:rPr>
          <w:color w:val="000000"/>
        </w:rPr>
        <w:t xml:space="preserve"> </w:t>
      </w:r>
      <w:r w:rsidRPr="008B55A4">
        <w:rPr>
          <w:color w:val="000000"/>
        </w:rPr>
        <w:t xml:space="preserve">являются: </w:t>
      </w:r>
    </w:p>
    <w:p w:rsidR="00CD7203" w:rsidRDefault="00CD7203" w:rsidP="005F378D">
      <w:pPr>
        <w:pStyle w:val="a6"/>
        <w:ind w:firstLine="567"/>
        <w:jc w:val="both"/>
      </w:pPr>
      <w:r w:rsidRPr="008B55A4">
        <w:rPr>
          <w:color w:val="000000"/>
        </w:rPr>
        <w:t xml:space="preserve">2.1.1. Организация и проведение работ по инвентаризации </w:t>
      </w:r>
      <w:r w:rsidRPr="008B55A4">
        <w:t xml:space="preserve">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</w:t>
      </w:r>
      <w:r>
        <w:t>пользователи</w:t>
      </w:r>
      <w:r w:rsidRPr="008B55A4">
        <w:t xml:space="preserve"> (собственниками</w:t>
      </w:r>
      <w:r>
        <w:t xml:space="preserve">) </w:t>
      </w:r>
      <w:r w:rsidRPr="008B55A4">
        <w:t>такого земельного</w:t>
      </w:r>
      <w:r>
        <w:t xml:space="preserve"> участка (объекта недвижимости)</w:t>
      </w:r>
      <w:r w:rsidRPr="008B55A4">
        <w:t>.</w:t>
      </w:r>
    </w:p>
    <w:p w:rsidR="00CD7203" w:rsidRDefault="00CD7203" w:rsidP="000E5A26">
      <w:pPr>
        <w:pStyle w:val="a6"/>
        <w:ind w:firstLine="567"/>
        <w:jc w:val="both"/>
      </w:pPr>
      <w:r w:rsidRPr="008A6B54">
        <w:t xml:space="preserve">2.1.2. Создание </w:t>
      </w:r>
      <w:r>
        <w:t>реестра</w:t>
      </w:r>
      <w:r w:rsidRPr="008A6B54">
        <w:t xml:space="preserve"> данных </w:t>
      </w:r>
      <w:r>
        <w:t>об инвентаризации по</w:t>
      </w:r>
      <w:r w:rsidRPr="008A6B54">
        <w:t xml:space="preserve"> земельным участкам и объектам недвижимости, принадлежащих </w:t>
      </w:r>
      <w:r>
        <w:t>пользователям (собственникам)</w:t>
      </w:r>
      <w:r w:rsidRPr="008A6B54">
        <w:t> </w:t>
      </w:r>
    </w:p>
    <w:p w:rsidR="00CD7203" w:rsidRPr="000E5A26" w:rsidRDefault="00CD7203" w:rsidP="000E5A26">
      <w:pPr>
        <w:pStyle w:val="a6"/>
        <w:ind w:firstLine="567"/>
        <w:jc w:val="both"/>
      </w:pPr>
      <w:r>
        <w:t>2.2. Функции рабочей группы:</w:t>
      </w:r>
    </w:p>
    <w:p w:rsidR="00CD7203" w:rsidRPr="00BB2095" w:rsidRDefault="00CD7203" w:rsidP="00F85BEA">
      <w:pPr>
        <w:shd w:val="clear" w:color="auto" w:fill="FFFFFF"/>
        <w:ind w:firstLine="567"/>
        <w:jc w:val="both"/>
        <w:textAlignment w:val="baseline"/>
      </w:pPr>
      <w:r w:rsidRPr="00F85BEA">
        <w:t>2.2.1. Разработка плана работы  по инвентаризации объектов указанных в п.2.1.1.</w:t>
      </w:r>
      <w:r w:rsidRPr="00F85BEA">
        <w:rPr>
          <w:color w:val="FF0000"/>
        </w:rPr>
        <w:t xml:space="preserve">  </w:t>
      </w:r>
      <w:r w:rsidR="00BB2095" w:rsidRPr="00BB2095">
        <w:t>настоящего Положения.</w:t>
      </w:r>
    </w:p>
    <w:p w:rsidR="00CD7203" w:rsidRPr="000E5A26" w:rsidRDefault="00CD7203" w:rsidP="00F85BEA">
      <w:pPr>
        <w:pStyle w:val="a6"/>
        <w:ind w:firstLine="567"/>
        <w:jc w:val="both"/>
      </w:pPr>
      <w:r w:rsidRPr="00BB2095">
        <w:t>2.2.2.  Проведение работы</w:t>
      </w:r>
      <w:r>
        <w:t xml:space="preserve"> рабочей группой в соответствии с Положением о порядке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 (приведено в Приложении №1).</w:t>
      </w:r>
    </w:p>
    <w:p w:rsidR="00CD7203" w:rsidRPr="001603D6" w:rsidRDefault="00CD7203" w:rsidP="00174EB5">
      <w:pPr>
        <w:shd w:val="clear" w:color="auto" w:fill="FFFFFF"/>
        <w:jc w:val="both"/>
        <w:textAlignment w:val="baseline"/>
      </w:pPr>
      <w:r w:rsidRPr="001603D6">
        <w:t xml:space="preserve">         2.2.3 Оформление результата проведенной  инвентаризации</w:t>
      </w:r>
      <w:r w:rsidRPr="001603D6">
        <w:rPr>
          <w:shd w:val="clear" w:color="auto" w:fill="FFFFFF"/>
        </w:rPr>
        <w:t xml:space="preserve">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</w:t>
      </w:r>
      <w:r w:rsidRPr="001603D6">
        <w:lastRenderedPageBreak/>
        <w:t xml:space="preserve">(собственниками) такого земельного участка (объекта недвижимости) по форме </w:t>
      </w:r>
      <w:r>
        <w:t>согласно</w:t>
      </w:r>
      <w:r w:rsidRPr="001603D6">
        <w:t xml:space="preserve"> Приложению </w:t>
      </w:r>
      <w:r>
        <w:t>№</w:t>
      </w:r>
      <w:r w:rsidRPr="001603D6">
        <w:t>2.</w:t>
      </w:r>
    </w:p>
    <w:p w:rsidR="00CD7203" w:rsidRPr="009A40C4" w:rsidRDefault="00CD7203" w:rsidP="005F378D">
      <w:pPr>
        <w:shd w:val="clear" w:color="auto" w:fill="FFFFFF"/>
        <w:ind w:firstLine="567"/>
        <w:jc w:val="both"/>
        <w:textAlignment w:val="baseline"/>
      </w:pPr>
      <w:r w:rsidRPr="00433680">
        <w:t>Сведения о земельных участках и объектах недвижимого имущества, сведения о правах пользователей (собственников)  которых содержатся в ЕГРН, вносятся в Реестр объектов недвижимого имущества расположенного на территории муниципального образования «</w:t>
      </w:r>
      <w:proofErr w:type="spellStart"/>
      <w:r w:rsidRPr="00433680">
        <w:t>Кезский</w:t>
      </w:r>
      <w:proofErr w:type="spellEnd"/>
      <w:r w:rsidRPr="00433680">
        <w:t xml:space="preserve"> район» по форме согласно</w:t>
      </w:r>
      <w:r>
        <w:rPr>
          <w:color w:val="C00000"/>
        </w:rPr>
        <w:t xml:space="preserve"> </w:t>
      </w:r>
      <w:r>
        <w:t>Приложению</w:t>
      </w:r>
      <w:r w:rsidRPr="009A40C4">
        <w:t xml:space="preserve"> </w:t>
      </w:r>
      <w:r w:rsidR="00BB2095">
        <w:t>№</w:t>
      </w:r>
      <w:r w:rsidRPr="009A40C4">
        <w:t>3.</w:t>
      </w:r>
    </w:p>
    <w:p w:rsidR="00CD7203" w:rsidRPr="00DC44E0" w:rsidRDefault="00CD7203" w:rsidP="005F378D">
      <w:pPr>
        <w:pStyle w:val="a6"/>
        <w:ind w:firstLine="567"/>
        <w:jc w:val="center"/>
        <w:rPr>
          <w:b/>
        </w:rPr>
      </w:pPr>
      <w:r w:rsidRPr="009A40C4">
        <w:br/>
      </w:r>
      <w:r>
        <w:rPr>
          <w:b/>
        </w:rPr>
        <w:t>3. Права рабочей группы</w:t>
      </w:r>
    </w:p>
    <w:p w:rsidR="00CD7203" w:rsidRDefault="00CD7203" w:rsidP="005F378D">
      <w:pPr>
        <w:pStyle w:val="a6"/>
        <w:ind w:firstLine="567"/>
        <w:rPr>
          <w:color w:val="4F81BD"/>
        </w:rPr>
      </w:pPr>
    </w:p>
    <w:p w:rsidR="00CD7203" w:rsidRPr="00B70A45" w:rsidRDefault="00CD7203" w:rsidP="005F378D">
      <w:pPr>
        <w:pStyle w:val="a6"/>
        <w:ind w:firstLine="567"/>
      </w:pPr>
      <w:r>
        <w:t>Рабочая группа</w:t>
      </w:r>
      <w:r w:rsidRPr="00B70A45">
        <w:t xml:space="preserve"> для решения возложенных на нее задач имеет право:</w:t>
      </w:r>
    </w:p>
    <w:p w:rsidR="00CD7203" w:rsidRDefault="00CD7203" w:rsidP="005F378D">
      <w:pPr>
        <w:pStyle w:val="a6"/>
        <w:ind w:firstLine="567"/>
        <w:jc w:val="both"/>
        <w:rPr>
          <w:color w:val="4F81BD"/>
        </w:rPr>
      </w:pPr>
      <w:r w:rsidRPr="00B70A45">
        <w:t xml:space="preserve">3.1. </w:t>
      </w:r>
      <w:proofErr w:type="gramStart"/>
      <w:r w:rsidRPr="00B70A45">
        <w:t xml:space="preserve">Запрашивать и получать в установленном порядке у </w:t>
      </w:r>
      <w:r>
        <w:t>органов местного самоуправления</w:t>
      </w:r>
      <w:r w:rsidRPr="00B70A45">
        <w:t xml:space="preserve">, необходимую для решения возложенных на </w:t>
      </w:r>
      <w:r>
        <w:t>рабочую группу</w:t>
      </w:r>
      <w:r w:rsidR="00BB2095">
        <w:t xml:space="preserve"> задач.</w:t>
      </w:r>
      <w:r w:rsidRPr="00B70A45">
        <w:t> </w:t>
      </w:r>
      <w:proofErr w:type="gramEnd"/>
    </w:p>
    <w:p w:rsidR="00CD7203" w:rsidRDefault="00CD7203" w:rsidP="005F378D">
      <w:pPr>
        <w:pStyle w:val="a6"/>
        <w:ind w:firstLine="567"/>
        <w:jc w:val="both"/>
      </w:pPr>
      <w:r w:rsidRPr="00094CFD">
        <w:t>3.2. Привлекать в установленном порядке представителей органов местного самоуправления, специалистов и экспертов для консультаций, изучения, подготовки и рассмотрения вопросов по решению задач, возложенных на рабочую группу</w:t>
      </w:r>
      <w:r>
        <w:t>.</w:t>
      </w:r>
    </w:p>
    <w:p w:rsidR="00CD7203" w:rsidRPr="00094CFD" w:rsidRDefault="00CD7203" w:rsidP="005F378D">
      <w:pPr>
        <w:pStyle w:val="a6"/>
        <w:ind w:firstLine="567"/>
        <w:jc w:val="both"/>
      </w:pPr>
    </w:p>
    <w:p w:rsidR="00CD7203" w:rsidRPr="00B70A45" w:rsidRDefault="00CD7203" w:rsidP="005F378D">
      <w:pPr>
        <w:pStyle w:val="a6"/>
        <w:ind w:firstLine="567"/>
        <w:jc w:val="center"/>
        <w:rPr>
          <w:b/>
        </w:rPr>
      </w:pPr>
      <w:r w:rsidRPr="00B70A45">
        <w:rPr>
          <w:b/>
        </w:rPr>
        <w:t>4. Ор</w:t>
      </w:r>
      <w:r>
        <w:rPr>
          <w:b/>
        </w:rPr>
        <w:t>ганизация деятельности рабочей группы</w:t>
      </w:r>
    </w:p>
    <w:p w:rsidR="00CD7203" w:rsidRPr="00D5341D" w:rsidRDefault="00CD7203" w:rsidP="005F378D">
      <w:pPr>
        <w:pStyle w:val="a6"/>
        <w:ind w:firstLine="567"/>
        <w:jc w:val="both"/>
      </w:pPr>
      <w:r w:rsidRPr="00360BCB">
        <w:rPr>
          <w:color w:val="4F81BD"/>
        </w:rPr>
        <w:br/>
      </w:r>
      <w:r>
        <w:t xml:space="preserve">          </w:t>
      </w:r>
      <w:r w:rsidRPr="00D5341D">
        <w:t>4.1. Состав рабочей группы</w:t>
      </w:r>
      <w:r>
        <w:t xml:space="preserve"> утверждается настоящим п</w:t>
      </w:r>
      <w:r w:rsidRPr="00D5341D">
        <w:t>остановлением Администрации муниципального образования «</w:t>
      </w:r>
      <w:proofErr w:type="spellStart"/>
      <w:r w:rsidRPr="00D5341D">
        <w:t>Кезский</w:t>
      </w:r>
      <w:proofErr w:type="spellEnd"/>
      <w:r w:rsidRPr="00D5341D">
        <w:t xml:space="preserve"> район».</w:t>
      </w:r>
    </w:p>
    <w:p w:rsidR="00CD7203" w:rsidRPr="009C367C" w:rsidRDefault="00CD7203" w:rsidP="005F378D">
      <w:pPr>
        <w:pStyle w:val="a6"/>
        <w:ind w:firstLine="567"/>
        <w:jc w:val="both"/>
      </w:pPr>
      <w:r>
        <w:t>4.2</w:t>
      </w:r>
      <w:r w:rsidRPr="009C367C">
        <w:t>. Рабочая группа формируется</w:t>
      </w:r>
      <w:r>
        <w:t xml:space="preserve"> в составе председателя и</w:t>
      </w:r>
      <w:r w:rsidRPr="009C367C">
        <w:t xml:space="preserve"> членов рабочей группы.</w:t>
      </w:r>
    </w:p>
    <w:p w:rsidR="00CD7203" w:rsidRDefault="00CD7203" w:rsidP="005F378D">
      <w:pPr>
        <w:pStyle w:val="a6"/>
        <w:ind w:firstLine="567"/>
        <w:jc w:val="both"/>
      </w:pPr>
      <w:r>
        <w:t>4.3</w:t>
      </w:r>
      <w:r w:rsidRPr="00095163">
        <w:t>. Председатель рабочей группы: осуществляет общее руководст</w:t>
      </w:r>
      <w:r w:rsidR="00BB2095">
        <w:t>во деятельностью рабочей группы, утверждает планы работы рабочей группы;</w:t>
      </w:r>
      <w:r w:rsidRPr="00095163">
        <w:t xml:space="preserve"> </w:t>
      </w:r>
      <w:r>
        <w:t xml:space="preserve">при необходимости </w:t>
      </w:r>
      <w:r w:rsidRPr="00095163">
        <w:t xml:space="preserve">организует проведение заседаний рабочей группы, утверждает повестку дня заседания рабочей группы. </w:t>
      </w:r>
    </w:p>
    <w:p w:rsidR="00CD7203" w:rsidRPr="00095163" w:rsidRDefault="00CD7203" w:rsidP="005F378D">
      <w:pPr>
        <w:pStyle w:val="a6"/>
        <w:ind w:firstLine="567"/>
        <w:jc w:val="both"/>
      </w:pPr>
      <w:r>
        <w:t>4.4</w:t>
      </w:r>
      <w:r w:rsidRPr="00095163">
        <w:t>. Члены рабочей группы</w:t>
      </w:r>
      <w:r>
        <w:t xml:space="preserve"> непосредственно </w:t>
      </w:r>
      <w:r w:rsidR="00BB2095">
        <w:t xml:space="preserve">осуществляют функции рабочей группы, </w:t>
      </w:r>
      <w:r w:rsidRPr="00095163">
        <w:t>вносят предложения по вопросам, от</w:t>
      </w:r>
      <w:r>
        <w:t>носящимся к их компетенции.</w:t>
      </w:r>
    </w:p>
    <w:p w:rsidR="00CD7203" w:rsidRDefault="00CD7203" w:rsidP="005F378D">
      <w:pPr>
        <w:ind w:firstLine="567"/>
        <w:jc w:val="both"/>
        <w:rPr>
          <w:color w:val="1F497D"/>
        </w:rPr>
      </w:pPr>
    </w:p>
    <w:p w:rsidR="00CD7203" w:rsidRDefault="00CD7203" w:rsidP="00B466BF">
      <w:pPr>
        <w:jc w:val="both"/>
        <w:rPr>
          <w:color w:val="1F497D"/>
        </w:rPr>
      </w:pPr>
    </w:p>
    <w:p w:rsidR="00CD7203" w:rsidRDefault="00CD7203" w:rsidP="00B466BF">
      <w:pPr>
        <w:jc w:val="both"/>
        <w:rPr>
          <w:color w:val="1F497D"/>
        </w:rPr>
      </w:pPr>
    </w:p>
    <w:p w:rsidR="00CD7203" w:rsidRPr="00BA19BE" w:rsidRDefault="00CD7203" w:rsidP="005B6209">
      <w:pPr>
        <w:pStyle w:val="a6"/>
        <w:ind w:left="5387"/>
        <w:jc w:val="center"/>
      </w:pPr>
      <w:r>
        <w:t xml:space="preserve">                   Приложение №1 к положению</w:t>
      </w:r>
    </w:p>
    <w:p w:rsidR="00CD7203" w:rsidRPr="00BA19BE" w:rsidRDefault="00CD7203" w:rsidP="005B6209">
      <w:pPr>
        <w:pStyle w:val="a6"/>
        <w:jc w:val="right"/>
      </w:pPr>
    </w:p>
    <w:p w:rsidR="00CD7203" w:rsidRDefault="00CD7203" w:rsidP="005B6209">
      <w:pPr>
        <w:jc w:val="center"/>
      </w:pPr>
    </w:p>
    <w:p w:rsidR="00CD7203" w:rsidRPr="007C203A" w:rsidRDefault="00CD7203" w:rsidP="005B6209">
      <w:pPr>
        <w:jc w:val="center"/>
        <w:rPr>
          <w:b/>
          <w:sz w:val="28"/>
          <w:szCs w:val="28"/>
        </w:rPr>
      </w:pPr>
      <w:r w:rsidRPr="007C203A">
        <w:rPr>
          <w:b/>
          <w:sz w:val="28"/>
          <w:szCs w:val="28"/>
        </w:rPr>
        <w:t>ПОЛОЖЕНИЕ</w:t>
      </w:r>
    </w:p>
    <w:p w:rsidR="00CD7203" w:rsidRPr="00CC0C78" w:rsidRDefault="00CD7203" w:rsidP="005B6209">
      <w:pPr>
        <w:pStyle w:val="a6"/>
        <w:jc w:val="center"/>
        <w:rPr>
          <w:sz w:val="28"/>
          <w:szCs w:val="28"/>
        </w:rPr>
      </w:pPr>
      <w:r>
        <w:rPr>
          <w:b/>
        </w:rPr>
        <w:t>о</w:t>
      </w:r>
      <w:r w:rsidRPr="000F3F06">
        <w:rPr>
          <w:b/>
        </w:rPr>
        <w:t xml:space="preserve"> порядке по проведению инвентаризации земельных участков и объектов недвижимости, не поставленных на государственный кадастровый учет, либо</w:t>
      </w:r>
      <w:r>
        <w:rPr>
          <w:b/>
        </w:rPr>
        <w:t xml:space="preserve"> </w:t>
      </w:r>
      <w:r w:rsidRPr="000F3F06">
        <w:rPr>
          <w:b/>
        </w:rPr>
        <w:t>состоящих на кадастровом учете, без оформления соответствующего</w:t>
      </w:r>
      <w:r>
        <w:rPr>
          <w:b/>
        </w:rPr>
        <w:t xml:space="preserve"> </w:t>
      </w:r>
      <w:r w:rsidRPr="000F3F06">
        <w:rPr>
          <w:b/>
        </w:rPr>
        <w:t>права пользователями (собственниками</w:t>
      </w:r>
      <w:r>
        <w:rPr>
          <w:b/>
        </w:rPr>
        <w:t>)</w:t>
      </w:r>
      <w:r w:rsidRPr="000F3F06">
        <w:rPr>
          <w:b/>
        </w:rPr>
        <w:t xml:space="preserve"> такого земельного участка (объекта недвижимости)</w:t>
      </w:r>
      <w:r w:rsidRPr="00CC0C78">
        <w:rPr>
          <w:sz w:val="28"/>
          <w:szCs w:val="28"/>
        </w:rPr>
        <w:t>.</w:t>
      </w:r>
    </w:p>
    <w:p w:rsidR="00CD7203" w:rsidRPr="00CC0C78" w:rsidRDefault="00CD7203" w:rsidP="005B6209">
      <w:pPr>
        <w:jc w:val="both"/>
        <w:rPr>
          <w:sz w:val="28"/>
          <w:szCs w:val="28"/>
        </w:rPr>
      </w:pPr>
    </w:p>
    <w:p w:rsidR="00CD7203" w:rsidRPr="007C203A" w:rsidRDefault="00CD7203" w:rsidP="005B6209">
      <w:pPr>
        <w:pStyle w:val="a6"/>
        <w:jc w:val="both"/>
      </w:pPr>
      <w:r>
        <w:t xml:space="preserve">         </w:t>
      </w:r>
      <w:r w:rsidRPr="007C203A">
        <w:t>1. Настоящее Положение устанавливает порядок проведения инвентаризации земельных участков и объектов недвижимости, не поставленных на государственный кадастровый учет, либо</w:t>
      </w:r>
      <w:r>
        <w:t xml:space="preserve"> </w:t>
      </w:r>
      <w:r w:rsidRPr="007C203A">
        <w:t>состоящих на кадастровом учете, без оформления соответствующего</w:t>
      </w:r>
      <w:r>
        <w:t xml:space="preserve"> </w:t>
      </w:r>
      <w:r w:rsidRPr="007C203A">
        <w:t>права пользователями (собственниками</w:t>
      </w:r>
      <w:r>
        <w:t>)</w:t>
      </w:r>
      <w:r w:rsidRPr="007C203A">
        <w:t xml:space="preserve"> такого земельного</w:t>
      </w:r>
      <w:r>
        <w:t xml:space="preserve"> участка (объекта недвижимости)</w:t>
      </w:r>
      <w:r w:rsidRPr="007C203A">
        <w:t>.</w:t>
      </w:r>
    </w:p>
    <w:p w:rsidR="00CD7203" w:rsidRPr="00D51622" w:rsidRDefault="00CD7203" w:rsidP="005B6209">
      <w:pPr>
        <w:jc w:val="both"/>
      </w:pPr>
      <w:r>
        <w:t xml:space="preserve">         </w:t>
      </w:r>
      <w:r w:rsidRPr="00D51622">
        <w:t xml:space="preserve">2. Инвентаризации подлежат все расположенные на территории муниципального образования земельные участки, здания и сооружения, а также иные объекты недвижимого имущества, находящиеся в собственности </w:t>
      </w:r>
      <w:r>
        <w:t>граждан, индивидуальных предпринимателей, юридических лиц (дале</w:t>
      </w:r>
      <w:proofErr w:type="gramStart"/>
      <w:r>
        <w:t>е-</w:t>
      </w:r>
      <w:proofErr w:type="gramEnd"/>
      <w:r>
        <w:t xml:space="preserve"> Пользователи).</w:t>
      </w:r>
    </w:p>
    <w:p w:rsidR="00CD7203" w:rsidRPr="00D51622" w:rsidRDefault="00CD7203" w:rsidP="005B6209">
      <w:pPr>
        <w:jc w:val="both"/>
      </w:pPr>
      <w:r>
        <w:t xml:space="preserve">        </w:t>
      </w:r>
      <w:r w:rsidRPr="00D51622">
        <w:t>3. Основными целями и задачами инвентаризации являются:</w:t>
      </w:r>
    </w:p>
    <w:p w:rsidR="00CD7203" w:rsidRPr="00D51622" w:rsidRDefault="00CD7203" w:rsidP="005B6209">
      <w:pPr>
        <w:jc w:val="both"/>
      </w:pPr>
      <w:r w:rsidRPr="00D51622">
        <w:t>- выявление фактического наличия объектов инвентаризации, их характеристик и сопоставление последних с учетными данными;</w:t>
      </w:r>
    </w:p>
    <w:p w:rsidR="00CD7203" w:rsidRPr="00D51622" w:rsidRDefault="00CD7203" w:rsidP="005B6209">
      <w:pPr>
        <w:jc w:val="both"/>
      </w:pPr>
      <w:r w:rsidRPr="00D51622">
        <w:t xml:space="preserve">- </w:t>
      </w:r>
      <w:r>
        <w:t xml:space="preserve"> </w:t>
      </w:r>
      <w:r w:rsidRPr="00D51622">
        <w:t>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CD7203" w:rsidRPr="00D51622" w:rsidRDefault="00CD7203" w:rsidP="005B6209">
      <w:pPr>
        <w:jc w:val="both"/>
      </w:pPr>
      <w:r w:rsidRPr="00D51622">
        <w:t>-</w:t>
      </w:r>
      <w:r>
        <w:t xml:space="preserve"> </w:t>
      </w:r>
      <w:r w:rsidRPr="00D51622">
        <w:t>выявление владельцев и пользователей объектов инвентаризации;</w:t>
      </w:r>
    </w:p>
    <w:p w:rsidR="00CD7203" w:rsidRPr="00D51622" w:rsidRDefault="00CD7203" w:rsidP="005B6209">
      <w:pPr>
        <w:jc w:val="both"/>
      </w:pPr>
      <w:r w:rsidRPr="00D51622">
        <w:lastRenderedPageBreak/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CD7203" w:rsidRPr="00D51622" w:rsidRDefault="00CD7203" w:rsidP="005B6209">
      <w:pPr>
        <w:jc w:val="both"/>
      </w:pPr>
      <w:r w:rsidRPr="00D51622">
        <w:t>- определение мер, направленных на повышение эффективности использования объектов недвижимого имущества;</w:t>
      </w:r>
    </w:p>
    <w:p w:rsidR="00CD7203" w:rsidRPr="00664B79" w:rsidRDefault="00CD7203" w:rsidP="005B6209">
      <w:pPr>
        <w:jc w:val="both"/>
      </w:pPr>
      <w:r w:rsidRPr="00664B79">
        <w:t xml:space="preserve">- создание информационного массива данных </w:t>
      </w:r>
      <w:r>
        <w:t xml:space="preserve">о земельных участках и объектов </w:t>
      </w:r>
      <w:r w:rsidRPr="00664B79">
        <w:t>недвижимого имущества, находящегося на территории муниципального образования «</w:t>
      </w:r>
      <w:proofErr w:type="spellStart"/>
      <w:r w:rsidRPr="00664B79">
        <w:t>Кезский</w:t>
      </w:r>
      <w:proofErr w:type="spellEnd"/>
      <w:r w:rsidRPr="00664B79">
        <w:t xml:space="preserve"> район».</w:t>
      </w:r>
    </w:p>
    <w:p w:rsidR="00CD7203" w:rsidRDefault="00CD7203" w:rsidP="005B6209">
      <w:pPr>
        <w:pStyle w:val="a6"/>
        <w:jc w:val="both"/>
      </w:pPr>
      <w:r>
        <w:t xml:space="preserve">         4. </w:t>
      </w:r>
      <w:r w:rsidRPr="00664B79">
        <w:t xml:space="preserve">Инвентаризация </w:t>
      </w:r>
      <w:r w:rsidRPr="00E16258">
        <w:t xml:space="preserve"> </w:t>
      </w:r>
      <w:r w:rsidRPr="005C4DAC">
        <w:t xml:space="preserve">объектов недвижимости осуществляется рабочей группой </w:t>
      </w:r>
      <w:r w:rsidRPr="00664B79">
        <w:t>по проведению инвентаризации земельных участков и объектов недвижимости, не поставленных на государственный кадастровый учет, либо</w:t>
      </w:r>
      <w:r>
        <w:t xml:space="preserve"> </w:t>
      </w:r>
      <w:r w:rsidRPr="00664B79">
        <w:t>состоящих на кадастровом учете, без оформления соответствующего</w:t>
      </w:r>
      <w:r>
        <w:t xml:space="preserve"> </w:t>
      </w:r>
      <w:r w:rsidRPr="00664B79">
        <w:t>права пользователями (собственниками</w:t>
      </w:r>
      <w:r>
        <w:t>)</w:t>
      </w:r>
      <w:r w:rsidRPr="00664B79">
        <w:t xml:space="preserve"> такого земельного</w:t>
      </w:r>
      <w:r>
        <w:t xml:space="preserve"> участка (объекта недвижимости) </w:t>
      </w:r>
      <w:r w:rsidRPr="00664B79">
        <w:t>(далее</w:t>
      </w:r>
      <w:r>
        <w:t xml:space="preserve"> – Рабочая группа</w:t>
      </w:r>
      <w:r w:rsidRPr="005C4DAC">
        <w:t xml:space="preserve">) путем  использования </w:t>
      </w:r>
      <w:r>
        <w:t>официальных источников информации</w:t>
      </w:r>
      <w:r w:rsidRPr="005C4DAC">
        <w:t>.</w:t>
      </w:r>
    </w:p>
    <w:p w:rsidR="00CD7203" w:rsidRPr="001F4F38" w:rsidRDefault="00CD7203" w:rsidP="005B6209">
      <w:pPr>
        <w:pStyle w:val="a6"/>
        <w:jc w:val="both"/>
      </w:pPr>
      <w:r w:rsidRPr="00664B79">
        <w:t xml:space="preserve"> </w:t>
      </w:r>
      <w:r>
        <w:t xml:space="preserve">         Рабочая группа </w:t>
      </w:r>
      <w:r w:rsidRPr="001F4F38">
        <w:t>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CD7203" w:rsidRPr="00D67249" w:rsidRDefault="00CD7203" w:rsidP="005B6209">
      <w:pPr>
        <w:jc w:val="both"/>
      </w:pPr>
      <w:r>
        <w:t xml:space="preserve">        </w:t>
      </w:r>
      <w:r w:rsidRPr="00D67249">
        <w:t>5. При пр</w:t>
      </w:r>
      <w:r>
        <w:t>оведении инвентаризации рабочая группа</w:t>
      </w:r>
      <w:r w:rsidRPr="00D67249">
        <w:t xml:space="preserve"> в соответствии с поставленными перед ней задачами выполняет следующие работы:</w:t>
      </w:r>
    </w:p>
    <w:p w:rsidR="00CD7203" w:rsidRPr="00EC2C16" w:rsidRDefault="00CD7203" w:rsidP="005B6209">
      <w:pPr>
        <w:jc w:val="both"/>
        <w:rPr>
          <w:b/>
          <w:color w:val="333333"/>
          <w:shd w:val="clear" w:color="auto" w:fill="FFFFFF"/>
        </w:rPr>
      </w:pPr>
      <w:r>
        <w:t xml:space="preserve">        </w:t>
      </w:r>
      <w:r w:rsidRPr="00D67249">
        <w:t>5.1.</w:t>
      </w:r>
      <w:r>
        <w:t xml:space="preserve"> Проверяет наличие сведений о земельных участках и</w:t>
      </w:r>
      <w:r w:rsidRPr="00D67249">
        <w:t xml:space="preserve"> объектах недвижимого имущества, расположенного на территории муниципального образования «</w:t>
      </w:r>
      <w:proofErr w:type="spellStart"/>
      <w:r w:rsidRPr="00D67249">
        <w:t>Кезский</w:t>
      </w:r>
      <w:proofErr w:type="spellEnd"/>
      <w:r w:rsidRPr="00D67249">
        <w:t xml:space="preserve"> район»</w:t>
      </w:r>
      <w:r>
        <w:t xml:space="preserve"> на публичной кадастровой карте, в базе ЕГРН</w:t>
      </w:r>
      <w:r w:rsidRPr="00D67249">
        <w:t xml:space="preserve"> и </w:t>
      </w:r>
      <w:r>
        <w:t xml:space="preserve">БТИ в порядке межведомственного взаимодействия, использует портал </w:t>
      </w:r>
      <w:proofErr w:type="spellStart"/>
      <w:r>
        <w:t>Росреестра</w:t>
      </w:r>
      <w:proofErr w:type="spellEnd"/>
      <w:r>
        <w:t xml:space="preserve"> </w:t>
      </w:r>
      <w:r w:rsidRPr="00EC2C16">
        <w:rPr>
          <w:b/>
        </w:rPr>
        <w:t>(</w:t>
      </w:r>
      <w:r w:rsidR="00A220E0">
        <w:rPr>
          <w:b/>
          <w:color w:val="333333"/>
          <w:shd w:val="clear" w:color="auto" w:fill="FFFFFF"/>
          <w:lang w:val="en-US"/>
        </w:rPr>
        <w:t>https</w:t>
      </w:r>
      <w:r w:rsidR="00A220E0">
        <w:rPr>
          <w:b/>
          <w:color w:val="333333"/>
          <w:shd w:val="clear" w:color="auto" w:fill="FFFFFF"/>
        </w:rPr>
        <w:t>://</w:t>
      </w:r>
      <w:proofErr w:type="spellStart"/>
      <w:r w:rsidR="00EC2C16" w:rsidRPr="00EC2C16">
        <w:rPr>
          <w:b/>
          <w:color w:val="333333"/>
          <w:shd w:val="clear" w:color="auto" w:fill="FFFFFF"/>
          <w:lang w:val="en-US"/>
        </w:rPr>
        <w:t>rocrees</w:t>
      </w:r>
      <w:r w:rsidRPr="00EC2C16">
        <w:rPr>
          <w:b/>
          <w:color w:val="333333"/>
          <w:shd w:val="clear" w:color="auto" w:fill="FFFFFF"/>
          <w:lang w:val="en-US"/>
        </w:rPr>
        <w:t>tr</w:t>
      </w:r>
      <w:proofErr w:type="spellEnd"/>
      <w:r w:rsidRPr="00EC2C16">
        <w:rPr>
          <w:b/>
          <w:color w:val="333333"/>
          <w:shd w:val="clear" w:color="auto" w:fill="FFFFFF"/>
        </w:rPr>
        <w:t>.</w:t>
      </w:r>
      <w:proofErr w:type="spellStart"/>
      <w:r w:rsidRPr="00EC2C16">
        <w:rPr>
          <w:b/>
          <w:color w:val="333333"/>
          <w:shd w:val="clear" w:color="auto" w:fill="FFFFFF"/>
          <w:lang w:val="en-US"/>
        </w:rPr>
        <w:t>ru</w:t>
      </w:r>
      <w:proofErr w:type="spellEnd"/>
      <w:r w:rsidRPr="00EC2C16">
        <w:rPr>
          <w:b/>
          <w:color w:val="333333"/>
          <w:shd w:val="clear" w:color="auto" w:fill="FFFFFF"/>
        </w:rPr>
        <w:t>).</w:t>
      </w:r>
    </w:p>
    <w:p w:rsidR="00CD7203" w:rsidRPr="00112F11" w:rsidRDefault="00CD7203" w:rsidP="005B6209">
      <w:pPr>
        <w:jc w:val="both"/>
      </w:pPr>
      <w:r w:rsidRPr="00E623A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</w:t>
      </w:r>
      <w:r w:rsidRPr="00BC7B2F">
        <w:t xml:space="preserve"> </w:t>
      </w:r>
      <w:r w:rsidRPr="00D67249">
        <w:t xml:space="preserve">Фактическое наличие объектов инвентаризации, его </w:t>
      </w:r>
      <w:proofErr w:type="spellStart"/>
      <w:r w:rsidRPr="00D67249">
        <w:t>посубъектное</w:t>
      </w:r>
      <w:proofErr w:type="spellEnd"/>
      <w:r w:rsidRPr="00D67249">
        <w:t xml:space="preserve"> владение и целевое использование определяют при инвентаризации путем обяза</w:t>
      </w:r>
      <w:r>
        <w:t>тельной сверки всей необходимой документации.</w:t>
      </w:r>
      <w:r w:rsidRPr="00112F11">
        <w:t xml:space="preserve">         </w:t>
      </w:r>
    </w:p>
    <w:p w:rsidR="00CD7203" w:rsidRPr="00112F11" w:rsidRDefault="00CD7203" w:rsidP="005B6209">
      <w:pPr>
        <w:jc w:val="both"/>
      </w:pPr>
      <w:r w:rsidRPr="00112F11">
        <w:t xml:space="preserve">        </w:t>
      </w:r>
      <w:r>
        <w:t>5.2</w:t>
      </w:r>
      <w:r w:rsidRPr="00112F11">
        <w:t xml:space="preserve">. </w:t>
      </w:r>
      <w:r>
        <w:t>Каждый член рабочей группы вносит в свой список</w:t>
      </w:r>
      <w:r w:rsidR="00B23B3A">
        <w:t xml:space="preserve"> (реестр)</w:t>
      </w:r>
      <w:r>
        <w:t xml:space="preserve"> сведения  об объектах</w:t>
      </w:r>
      <w:r w:rsidRPr="00112F11">
        <w:t xml:space="preserve"> инвентаризации </w:t>
      </w:r>
      <w:r w:rsidR="00EA274E">
        <w:t>по форме согласно П</w:t>
      </w:r>
      <w:r>
        <w:t>риложению №2</w:t>
      </w:r>
      <w:r w:rsidR="00EA274E">
        <w:t xml:space="preserve"> и Приложению №3. </w:t>
      </w:r>
      <w:r>
        <w:t>Еженедельно предоставляет список секретарю группы для свода.</w:t>
      </w:r>
    </w:p>
    <w:p w:rsidR="00CD7203" w:rsidRPr="009A40C4" w:rsidRDefault="00CD7203" w:rsidP="009A40C4">
      <w:pPr>
        <w:jc w:val="both"/>
      </w:pPr>
      <w:r>
        <w:t xml:space="preserve">      </w:t>
      </w:r>
      <w:r w:rsidRPr="00112F11">
        <w:t xml:space="preserve"> </w:t>
      </w:r>
      <w:r>
        <w:t xml:space="preserve">5.3. </w:t>
      </w:r>
      <w:r w:rsidRPr="009A40C4">
        <w:t>Секретарь рабочей группы осуществляет свод</w:t>
      </w:r>
      <w:r w:rsidR="00EA274E">
        <w:t xml:space="preserve"> </w:t>
      </w:r>
      <w:r w:rsidR="00823C02" w:rsidRPr="00823C02">
        <w:t>пред</w:t>
      </w:r>
      <w:r w:rsidR="00EA274E" w:rsidRPr="00823C02">
        <w:t>ставленн</w:t>
      </w:r>
      <w:r w:rsidR="00823C02" w:rsidRPr="00823C02">
        <w:t>о</w:t>
      </w:r>
      <w:r w:rsidR="004D6C62" w:rsidRPr="00823C02">
        <w:t>й</w:t>
      </w:r>
      <w:r w:rsidR="00EA274E" w:rsidRPr="00823C02">
        <w:t xml:space="preserve"> ч</w:t>
      </w:r>
      <w:r w:rsidR="00EA274E">
        <w:t>ленами рабочей группы информации</w:t>
      </w:r>
      <w:r w:rsidRPr="009A40C4">
        <w:t>. При необходимости запрашивает у членов групп</w:t>
      </w:r>
      <w:r w:rsidR="00EA274E">
        <w:t>ы пояснения по содержанию списков</w:t>
      </w:r>
      <w:r w:rsidRPr="009A40C4">
        <w:t>.</w:t>
      </w:r>
    </w:p>
    <w:p w:rsidR="00CD7203" w:rsidRPr="009A40C4" w:rsidRDefault="00CD7203" w:rsidP="00B466BF">
      <w:pPr>
        <w:jc w:val="both"/>
      </w:pPr>
      <w:r w:rsidRPr="009A40C4">
        <w:t xml:space="preserve">      </w:t>
      </w:r>
      <w:r>
        <w:t xml:space="preserve"> 5.4. </w:t>
      </w:r>
      <w:r w:rsidRPr="009A40C4">
        <w:t xml:space="preserve">  </w:t>
      </w:r>
      <w:r>
        <w:t xml:space="preserve">Результат работы рабочей группы оформляется в соответствии с Положением о рабочей группе и предоставляется на </w:t>
      </w:r>
      <w:r w:rsidR="00EA274E">
        <w:t>заседание коллегии Администрации муниципального образования «</w:t>
      </w:r>
      <w:proofErr w:type="spellStart"/>
      <w:r w:rsidR="00EA274E">
        <w:t>Кезский</w:t>
      </w:r>
      <w:proofErr w:type="spellEnd"/>
      <w:r w:rsidR="00EA274E">
        <w:t xml:space="preserve"> район»</w:t>
      </w:r>
      <w:r>
        <w:t>.</w:t>
      </w:r>
    </w:p>
    <w:p w:rsidR="00CD7203" w:rsidRDefault="00CD7203" w:rsidP="00B466BF">
      <w:pPr>
        <w:jc w:val="both"/>
        <w:rPr>
          <w:color w:val="1F497D"/>
        </w:rPr>
      </w:pPr>
    </w:p>
    <w:p w:rsidR="00CD7203" w:rsidRDefault="00CD7203" w:rsidP="00380A19">
      <w:pPr>
        <w:jc w:val="both"/>
        <w:rPr>
          <w:color w:val="1F497D"/>
        </w:rPr>
        <w:sectPr w:rsidR="00CD7203" w:rsidSect="00250F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color w:val="1F497D"/>
        </w:rPr>
        <w:t xml:space="preserve">      </w:t>
      </w:r>
    </w:p>
    <w:p w:rsidR="00CD7203" w:rsidRDefault="00CD7203" w:rsidP="00F127B1">
      <w:pPr>
        <w:pStyle w:val="a6"/>
        <w:ind w:left="5245"/>
        <w:jc w:val="right"/>
      </w:pPr>
    </w:p>
    <w:p w:rsidR="00CD7203" w:rsidRPr="00BA19BE" w:rsidRDefault="00CD7203" w:rsidP="00F127B1">
      <w:pPr>
        <w:pStyle w:val="a6"/>
        <w:ind w:left="5245"/>
        <w:jc w:val="right"/>
      </w:pPr>
      <w:r>
        <w:t xml:space="preserve">Приложение № 2 </w:t>
      </w:r>
      <w:r w:rsidR="004D6C62">
        <w:t xml:space="preserve">к </w:t>
      </w:r>
      <w:r>
        <w:t>положению</w:t>
      </w:r>
    </w:p>
    <w:p w:rsidR="00CD7203" w:rsidRDefault="00CD7203" w:rsidP="00F127B1">
      <w:pPr>
        <w:pStyle w:val="a6"/>
        <w:ind w:left="5245"/>
        <w:jc w:val="right"/>
      </w:pPr>
    </w:p>
    <w:p w:rsidR="00CD7203" w:rsidRPr="00BA19BE" w:rsidRDefault="00CD7203" w:rsidP="00F127B1">
      <w:pPr>
        <w:pStyle w:val="a6"/>
        <w:ind w:left="5245"/>
        <w:jc w:val="right"/>
      </w:pPr>
    </w:p>
    <w:p w:rsidR="00CD7203" w:rsidRPr="0013302D" w:rsidRDefault="00CD7203" w:rsidP="0013302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результатов инвентаризации </w:t>
      </w:r>
      <w:r w:rsidRPr="0013302D">
        <w:rPr>
          <w:b/>
          <w:sz w:val="28"/>
          <w:szCs w:val="28"/>
        </w:rPr>
        <w:t>земельных участков и объектов недвижимости, не поставленных на государственный кадастровый учет, либо</w:t>
      </w:r>
      <w:r>
        <w:rPr>
          <w:b/>
          <w:sz w:val="28"/>
          <w:szCs w:val="28"/>
        </w:rPr>
        <w:t xml:space="preserve"> </w:t>
      </w:r>
      <w:r w:rsidRPr="0013302D">
        <w:rPr>
          <w:b/>
          <w:sz w:val="28"/>
          <w:szCs w:val="28"/>
        </w:rPr>
        <w:t>состоящих на кадастровом учете, без оформления соответствующего</w:t>
      </w:r>
      <w:r>
        <w:rPr>
          <w:b/>
          <w:sz w:val="28"/>
          <w:szCs w:val="28"/>
        </w:rPr>
        <w:t xml:space="preserve"> </w:t>
      </w:r>
      <w:r w:rsidRPr="0013302D">
        <w:rPr>
          <w:b/>
          <w:sz w:val="28"/>
          <w:szCs w:val="28"/>
        </w:rPr>
        <w:t>права пользователями (собственниками</w:t>
      </w:r>
      <w:r>
        <w:rPr>
          <w:b/>
          <w:sz w:val="28"/>
          <w:szCs w:val="28"/>
        </w:rPr>
        <w:t xml:space="preserve">) </w:t>
      </w:r>
      <w:r w:rsidRPr="0013302D">
        <w:rPr>
          <w:b/>
          <w:sz w:val="28"/>
          <w:szCs w:val="28"/>
        </w:rPr>
        <w:t xml:space="preserve">такого земельного </w:t>
      </w:r>
      <w:r>
        <w:rPr>
          <w:b/>
          <w:sz w:val="28"/>
          <w:szCs w:val="28"/>
        </w:rPr>
        <w:t>участка (объекта недвижимости)</w:t>
      </w:r>
      <w:r w:rsidRPr="0013302D">
        <w:rPr>
          <w:b/>
          <w:sz w:val="28"/>
          <w:szCs w:val="28"/>
        </w:rPr>
        <w:t xml:space="preserve"> расположенных на территории муниципального образования «</w:t>
      </w:r>
      <w:proofErr w:type="spellStart"/>
      <w:r w:rsidRPr="0013302D">
        <w:rPr>
          <w:b/>
          <w:sz w:val="28"/>
          <w:szCs w:val="28"/>
        </w:rPr>
        <w:t>Кезский</w:t>
      </w:r>
      <w:proofErr w:type="spellEnd"/>
      <w:r w:rsidRPr="0013302D">
        <w:rPr>
          <w:b/>
          <w:sz w:val="28"/>
          <w:szCs w:val="28"/>
        </w:rPr>
        <w:t xml:space="preserve"> район»</w:t>
      </w:r>
    </w:p>
    <w:p w:rsidR="00CD7203" w:rsidRPr="0013302D" w:rsidRDefault="00CD7203" w:rsidP="00A23D56">
      <w:pPr>
        <w:pStyle w:val="a6"/>
        <w:jc w:val="center"/>
        <w:rPr>
          <w:b/>
        </w:rPr>
      </w:pPr>
    </w:p>
    <w:p w:rsidR="00CD7203" w:rsidRDefault="00CD7203" w:rsidP="00A23D56">
      <w:pPr>
        <w:pStyle w:val="a6"/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1137"/>
        <w:gridCol w:w="1418"/>
        <w:gridCol w:w="1276"/>
        <w:gridCol w:w="1134"/>
        <w:gridCol w:w="1417"/>
        <w:gridCol w:w="1276"/>
        <w:gridCol w:w="1276"/>
        <w:gridCol w:w="1134"/>
        <w:gridCol w:w="1275"/>
        <w:gridCol w:w="1134"/>
        <w:gridCol w:w="1134"/>
        <w:gridCol w:w="1276"/>
      </w:tblGrid>
      <w:tr w:rsidR="004D6C62" w:rsidTr="00217134">
        <w:tc>
          <w:tcPr>
            <w:tcW w:w="672" w:type="dxa"/>
            <w:vMerge w:val="restart"/>
          </w:tcPr>
          <w:p w:rsidR="004D6C62" w:rsidRPr="00594F7E" w:rsidRDefault="004D6C62" w:rsidP="00594F7E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№ </w:t>
            </w:r>
            <w:proofErr w:type="gramStart"/>
            <w:r w:rsidRPr="00594F7E">
              <w:rPr>
                <w:sz w:val="20"/>
                <w:szCs w:val="20"/>
              </w:rPr>
              <w:t>п</w:t>
            </w:r>
            <w:proofErr w:type="gramEnd"/>
            <w:r w:rsidRPr="00594F7E">
              <w:rPr>
                <w:sz w:val="20"/>
                <w:szCs w:val="20"/>
              </w:rPr>
              <w:t>/п</w:t>
            </w:r>
          </w:p>
        </w:tc>
        <w:tc>
          <w:tcPr>
            <w:tcW w:w="1137" w:type="dxa"/>
            <w:vMerge w:val="restart"/>
          </w:tcPr>
          <w:p w:rsidR="004D6C62" w:rsidRPr="00594F7E" w:rsidRDefault="004D6C62" w:rsidP="00594F7E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7797" w:type="dxa"/>
            <w:gridSpan w:val="6"/>
          </w:tcPr>
          <w:p w:rsidR="004D6C62" w:rsidRPr="00823C02" w:rsidRDefault="004D6C62" w:rsidP="004D6C6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3C0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</w:tcPr>
          <w:p w:rsidR="004D6C62" w:rsidRPr="00823C02" w:rsidRDefault="004D6C62" w:rsidP="004D6C6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3C02">
              <w:rPr>
                <w:b/>
                <w:sz w:val="20"/>
                <w:szCs w:val="20"/>
              </w:rPr>
              <w:t>Объект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C62" w:rsidRPr="00594F7E" w:rsidRDefault="004D6C62" w:rsidP="002A700D">
            <w:pPr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Примечание</w:t>
            </w:r>
          </w:p>
          <w:p w:rsidR="004D6C62" w:rsidRPr="00594F7E" w:rsidRDefault="004D6C62" w:rsidP="002A700D">
            <w:pPr>
              <w:jc w:val="center"/>
              <w:rPr>
                <w:sz w:val="20"/>
                <w:szCs w:val="20"/>
              </w:rPr>
            </w:pPr>
          </w:p>
        </w:tc>
      </w:tr>
      <w:tr w:rsidR="00217134" w:rsidTr="00217134">
        <w:trPr>
          <w:cantSplit/>
          <w:trHeight w:val="1134"/>
        </w:trPr>
        <w:tc>
          <w:tcPr>
            <w:tcW w:w="672" w:type="dxa"/>
            <w:vMerge/>
          </w:tcPr>
          <w:p w:rsidR="00217134" w:rsidRPr="00594F7E" w:rsidRDefault="00217134" w:rsidP="00594F7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17134" w:rsidRPr="00594F7E" w:rsidRDefault="00217134" w:rsidP="00594F7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7134" w:rsidRPr="00594F7E" w:rsidRDefault="00217134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1276" w:type="dxa"/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Площадь, </w:t>
            </w:r>
            <w:proofErr w:type="gramStart"/>
            <w:r w:rsidRPr="00594F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17" w:type="dxa"/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Кадастровая стоимость земельного участка в тыс</w:t>
            </w:r>
            <w:proofErr w:type="gramStart"/>
            <w:r w:rsidRPr="00594F7E">
              <w:rPr>
                <w:sz w:val="20"/>
                <w:szCs w:val="20"/>
              </w:rPr>
              <w:t>.р</w:t>
            </w:r>
            <w:proofErr w:type="gramEnd"/>
            <w:r w:rsidRPr="00594F7E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Сведения о правах на земельный участок</w:t>
            </w:r>
          </w:p>
        </w:tc>
        <w:tc>
          <w:tcPr>
            <w:tcW w:w="1276" w:type="dxa"/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Дата постановк</w:t>
            </w:r>
            <w:r>
              <w:rPr>
                <w:sz w:val="20"/>
                <w:szCs w:val="20"/>
              </w:rPr>
              <w:t>и</w:t>
            </w:r>
            <w:r w:rsidRPr="00594F7E">
              <w:rPr>
                <w:sz w:val="20"/>
                <w:szCs w:val="20"/>
              </w:rPr>
              <w:t xml:space="preserve"> на учет земельного участка</w:t>
            </w:r>
          </w:p>
        </w:tc>
        <w:tc>
          <w:tcPr>
            <w:tcW w:w="1134" w:type="dxa"/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ние</w:t>
            </w:r>
            <w:r w:rsidRPr="00594F7E">
              <w:rPr>
                <w:sz w:val="20"/>
                <w:szCs w:val="20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Кадастровая стоимость объекта недвижимости в тыс</w:t>
            </w:r>
            <w:proofErr w:type="gramStart"/>
            <w:r w:rsidRPr="00594F7E">
              <w:rPr>
                <w:sz w:val="20"/>
                <w:szCs w:val="20"/>
              </w:rPr>
              <w:t>.р</w:t>
            </w:r>
            <w:proofErr w:type="gramEnd"/>
            <w:r w:rsidRPr="00594F7E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34" w:rsidRPr="00594F7E" w:rsidRDefault="00217134" w:rsidP="0021713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Сведения о правах на недвижимое имущество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134" w:rsidRPr="00594F7E" w:rsidRDefault="00217134" w:rsidP="002A700D">
            <w:pPr>
              <w:jc w:val="center"/>
              <w:rPr>
                <w:sz w:val="20"/>
                <w:szCs w:val="20"/>
              </w:rPr>
            </w:pPr>
          </w:p>
        </w:tc>
      </w:tr>
      <w:tr w:rsidR="004D6C62" w:rsidTr="00217134">
        <w:tc>
          <w:tcPr>
            <w:tcW w:w="672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  <w:highlight w:val="red"/>
              </w:rPr>
            </w:pPr>
            <w:r w:rsidRPr="00823C0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D6C6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13</w:t>
            </w:r>
          </w:p>
        </w:tc>
      </w:tr>
      <w:tr w:rsidR="004D6C62" w:rsidTr="00217134">
        <w:tc>
          <w:tcPr>
            <w:tcW w:w="672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8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</w:tr>
      <w:tr w:rsidR="004D6C62" w:rsidTr="00217134">
        <w:tc>
          <w:tcPr>
            <w:tcW w:w="672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8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</w:tr>
      <w:tr w:rsidR="004D6C62" w:rsidTr="00217134">
        <w:tc>
          <w:tcPr>
            <w:tcW w:w="672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8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</w:tr>
      <w:tr w:rsidR="004D6C62" w:rsidTr="00217134">
        <w:tc>
          <w:tcPr>
            <w:tcW w:w="672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8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</w:tr>
      <w:tr w:rsidR="004D6C62" w:rsidTr="00217134">
        <w:tc>
          <w:tcPr>
            <w:tcW w:w="672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8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417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6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134" w:type="dxa"/>
          </w:tcPr>
          <w:p w:rsidR="004D6C62" w:rsidRPr="00594F7E" w:rsidRDefault="004D6C62" w:rsidP="00594F7E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2" w:rsidRDefault="004D6C62"/>
        </w:tc>
      </w:tr>
    </w:tbl>
    <w:p w:rsidR="00CD7203" w:rsidRDefault="00CD7203" w:rsidP="00F127B1">
      <w:pPr>
        <w:shd w:val="clear" w:color="auto" w:fill="FFFFFF"/>
        <w:jc w:val="both"/>
        <w:textAlignment w:val="baseline"/>
        <w:rPr>
          <w:color w:val="1F497D"/>
        </w:rPr>
        <w:sectPr w:rsidR="00CD7203" w:rsidSect="00250F3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D7203" w:rsidRPr="00BA19BE" w:rsidRDefault="00CD7203" w:rsidP="009B7D43">
      <w:pPr>
        <w:pStyle w:val="a6"/>
        <w:ind w:left="5245"/>
        <w:jc w:val="right"/>
      </w:pPr>
      <w:r>
        <w:lastRenderedPageBreak/>
        <w:t>Приложение № 3 к положению</w:t>
      </w:r>
    </w:p>
    <w:p w:rsidR="00CD7203" w:rsidRDefault="00CD7203" w:rsidP="009B7D43">
      <w:pPr>
        <w:pStyle w:val="a6"/>
        <w:ind w:left="5245"/>
        <w:jc w:val="right"/>
      </w:pPr>
    </w:p>
    <w:p w:rsidR="00CD7203" w:rsidRPr="00BA19BE" w:rsidRDefault="00CD7203" w:rsidP="009B7D43">
      <w:pPr>
        <w:pStyle w:val="a6"/>
        <w:ind w:left="5245"/>
        <w:jc w:val="right"/>
      </w:pPr>
    </w:p>
    <w:p w:rsidR="00CD7203" w:rsidRPr="0013302D" w:rsidRDefault="00CD7203" w:rsidP="009B7D4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Реестр  </w:t>
      </w:r>
      <w:r w:rsidRPr="0013302D">
        <w:rPr>
          <w:b/>
          <w:sz w:val="28"/>
          <w:szCs w:val="28"/>
        </w:rPr>
        <w:t>земельных участков и объектов недвижимости, не поставленных на государственный кадастровый учет, либо</w:t>
      </w:r>
      <w:r>
        <w:rPr>
          <w:b/>
          <w:sz w:val="28"/>
          <w:szCs w:val="28"/>
        </w:rPr>
        <w:t xml:space="preserve"> </w:t>
      </w:r>
      <w:r w:rsidRPr="0013302D">
        <w:rPr>
          <w:b/>
          <w:sz w:val="28"/>
          <w:szCs w:val="28"/>
        </w:rPr>
        <w:t>состоящих на кадастровом учете, без оформления соответствующего</w:t>
      </w:r>
      <w:r>
        <w:rPr>
          <w:b/>
          <w:sz w:val="28"/>
          <w:szCs w:val="28"/>
        </w:rPr>
        <w:t xml:space="preserve"> </w:t>
      </w:r>
      <w:r w:rsidRPr="0013302D">
        <w:rPr>
          <w:b/>
          <w:sz w:val="28"/>
          <w:szCs w:val="28"/>
        </w:rPr>
        <w:t>права пользователями (собственниками</w:t>
      </w:r>
      <w:r>
        <w:rPr>
          <w:b/>
          <w:sz w:val="28"/>
          <w:szCs w:val="28"/>
        </w:rPr>
        <w:t xml:space="preserve">) </w:t>
      </w:r>
      <w:r w:rsidRPr="0013302D">
        <w:rPr>
          <w:b/>
          <w:sz w:val="28"/>
          <w:szCs w:val="28"/>
        </w:rPr>
        <w:t xml:space="preserve">такого земельного </w:t>
      </w:r>
      <w:r>
        <w:rPr>
          <w:b/>
          <w:sz w:val="28"/>
          <w:szCs w:val="28"/>
        </w:rPr>
        <w:t>участка (объекта недвижимости)</w:t>
      </w:r>
      <w:r w:rsidRPr="0013302D">
        <w:rPr>
          <w:b/>
          <w:sz w:val="28"/>
          <w:szCs w:val="28"/>
        </w:rPr>
        <w:t xml:space="preserve"> расположенных на территории муниципального образования «</w:t>
      </w:r>
      <w:proofErr w:type="spellStart"/>
      <w:r w:rsidRPr="0013302D">
        <w:rPr>
          <w:b/>
          <w:sz w:val="28"/>
          <w:szCs w:val="28"/>
        </w:rPr>
        <w:t>Кезский</w:t>
      </w:r>
      <w:proofErr w:type="spellEnd"/>
      <w:r w:rsidRPr="0013302D">
        <w:rPr>
          <w:b/>
          <w:sz w:val="28"/>
          <w:szCs w:val="28"/>
        </w:rPr>
        <w:t xml:space="preserve"> район»</w:t>
      </w:r>
    </w:p>
    <w:p w:rsidR="00CD7203" w:rsidRPr="0013302D" w:rsidRDefault="00CD7203" w:rsidP="009B7D43">
      <w:pPr>
        <w:pStyle w:val="a6"/>
        <w:jc w:val="center"/>
        <w:rPr>
          <w:b/>
        </w:rPr>
      </w:pPr>
    </w:p>
    <w:p w:rsidR="00CD7203" w:rsidRDefault="00CD7203" w:rsidP="009B7D43">
      <w:pPr>
        <w:pStyle w:val="a6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560"/>
        <w:gridCol w:w="1701"/>
        <w:gridCol w:w="1560"/>
        <w:gridCol w:w="1275"/>
        <w:gridCol w:w="1560"/>
        <w:gridCol w:w="1558"/>
        <w:gridCol w:w="1560"/>
        <w:gridCol w:w="1843"/>
        <w:gridCol w:w="1559"/>
      </w:tblGrid>
      <w:tr w:rsidR="00823C02" w:rsidTr="00217134">
        <w:tc>
          <w:tcPr>
            <w:tcW w:w="816" w:type="dxa"/>
            <w:vMerge w:val="restart"/>
          </w:tcPr>
          <w:p w:rsidR="00823C02" w:rsidRPr="00594F7E" w:rsidRDefault="00823C02" w:rsidP="00AD1264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№ </w:t>
            </w:r>
            <w:proofErr w:type="gramStart"/>
            <w:r w:rsidRPr="00594F7E">
              <w:rPr>
                <w:sz w:val="20"/>
                <w:szCs w:val="20"/>
              </w:rPr>
              <w:t>п</w:t>
            </w:r>
            <w:proofErr w:type="gramEnd"/>
            <w:r w:rsidRPr="00594F7E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823C02" w:rsidRPr="00594F7E" w:rsidRDefault="00823C02" w:rsidP="00AD1264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823C02" w:rsidRPr="00246A0C" w:rsidRDefault="00823C02" w:rsidP="00246A0C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A0C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823C02" w:rsidRPr="00246A0C" w:rsidRDefault="00823C02" w:rsidP="00246A0C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46A0C">
              <w:rPr>
                <w:b/>
                <w:sz w:val="20"/>
                <w:szCs w:val="20"/>
              </w:rPr>
              <w:t>Объект недвижимости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3C02" w:rsidRPr="00594F7E" w:rsidRDefault="00823C02" w:rsidP="002A700D">
            <w:pPr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Примечание</w:t>
            </w:r>
          </w:p>
          <w:p w:rsidR="00823C02" w:rsidRPr="00594F7E" w:rsidRDefault="00823C02" w:rsidP="002A700D">
            <w:pPr>
              <w:jc w:val="center"/>
              <w:rPr>
                <w:sz w:val="20"/>
                <w:szCs w:val="20"/>
              </w:rPr>
            </w:pPr>
          </w:p>
        </w:tc>
      </w:tr>
      <w:tr w:rsidR="00823C02" w:rsidTr="00217134">
        <w:tc>
          <w:tcPr>
            <w:tcW w:w="816" w:type="dxa"/>
            <w:vMerge/>
          </w:tcPr>
          <w:p w:rsidR="00823C02" w:rsidRPr="00594F7E" w:rsidRDefault="00823C02" w:rsidP="00AD1264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3C02" w:rsidRPr="00594F7E" w:rsidRDefault="00823C02" w:rsidP="00AD1264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3C02" w:rsidRPr="00594F7E" w:rsidRDefault="00823C02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1560" w:type="dxa"/>
          </w:tcPr>
          <w:p w:rsidR="00823C02" w:rsidRPr="00594F7E" w:rsidRDefault="00823C02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3C02" w:rsidRPr="00594F7E" w:rsidRDefault="00823C02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 xml:space="preserve">Площадь, </w:t>
            </w:r>
            <w:proofErr w:type="gramStart"/>
            <w:r w:rsidRPr="00594F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60" w:type="dxa"/>
          </w:tcPr>
          <w:p w:rsidR="00823C02" w:rsidRPr="00594F7E" w:rsidRDefault="00823C02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Сведения о правах на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594F7E" w:rsidRDefault="00823C02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94F7E">
              <w:rPr>
                <w:sz w:val="20"/>
                <w:szCs w:val="20"/>
              </w:rPr>
              <w:t>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246A0C" w:rsidRDefault="00823C02" w:rsidP="002A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46A0C">
              <w:rPr>
                <w:sz w:val="20"/>
                <w:szCs w:val="20"/>
              </w:rPr>
              <w:t xml:space="preserve">аименование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594F7E" w:rsidRDefault="00823C02" w:rsidP="002A700D">
            <w:pPr>
              <w:jc w:val="both"/>
              <w:textAlignment w:val="baseline"/>
              <w:rPr>
                <w:sz w:val="20"/>
                <w:szCs w:val="20"/>
              </w:rPr>
            </w:pPr>
            <w:r w:rsidRPr="00594F7E">
              <w:rPr>
                <w:sz w:val="20"/>
                <w:szCs w:val="20"/>
              </w:rPr>
              <w:t>Сведения о правах на недвижимое имущество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3C02" w:rsidRPr="00594F7E" w:rsidRDefault="00823C02" w:rsidP="002A700D">
            <w:pPr>
              <w:jc w:val="center"/>
              <w:rPr>
                <w:sz w:val="20"/>
                <w:szCs w:val="20"/>
              </w:rPr>
            </w:pPr>
          </w:p>
        </w:tc>
      </w:tr>
      <w:tr w:rsidR="00823C02" w:rsidTr="00217134">
        <w:tc>
          <w:tcPr>
            <w:tcW w:w="816" w:type="dxa"/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  <w:highlight w:val="red"/>
              </w:rPr>
            </w:pPr>
            <w:r w:rsidRPr="00823C0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823C02" w:rsidRDefault="00823C02" w:rsidP="00823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Pr="00823C02" w:rsidRDefault="00823C02" w:rsidP="00823C02">
            <w:pPr>
              <w:jc w:val="center"/>
              <w:rPr>
                <w:sz w:val="20"/>
                <w:szCs w:val="20"/>
              </w:rPr>
            </w:pPr>
            <w:r w:rsidRPr="00823C02">
              <w:rPr>
                <w:sz w:val="20"/>
                <w:szCs w:val="20"/>
              </w:rPr>
              <w:t>10</w:t>
            </w:r>
          </w:p>
        </w:tc>
      </w:tr>
      <w:tr w:rsidR="00823C02" w:rsidTr="00217134">
        <w:tc>
          <w:tcPr>
            <w:tcW w:w="816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701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</w:tr>
      <w:tr w:rsidR="00823C02" w:rsidTr="00217134">
        <w:tc>
          <w:tcPr>
            <w:tcW w:w="816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701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</w:tr>
      <w:tr w:rsidR="00823C02" w:rsidTr="00217134">
        <w:tc>
          <w:tcPr>
            <w:tcW w:w="816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701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</w:tr>
      <w:tr w:rsidR="00823C02" w:rsidTr="00217134">
        <w:tc>
          <w:tcPr>
            <w:tcW w:w="816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701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</w:tr>
      <w:tr w:rsidR="00823C02" w:rsidTr="00217134">
        <w:tc>
          <w:tcPr>
            <w:tcW w:w="816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701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  <w:highlight w:val="re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275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60" w:type="dxa"/>
          </w:tcPr>
          <w:p w:rsidR="00823C02" w:rsidRPr="00594F7E" w:rsidRDefault="00823C02" w:rsidP="00AD1264">
            <w:pPr>
              <w:jc w:val="both"/>
              <w:textAlignment w:val="baseline"/>
              <w:rPr>
                <w:color w:val="1F497D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02" w:rsidRDefault="00823C02" w:rsidP="00AD1264"/>
        </w:tc>
      </w:tr>
    </w:tbl>
    <w:p w:rsidR="00CD7203" w:rsidRDefault="00CD7203" w:rsidP="009B7D43">
      <w:pPr>
        <w:shd w:val="clear" w:color="auto" w:fill="FFFFFF"/>
        <w:jc w:val="both"/>
        <w:textAlignment w:val="baseline"/>
        <w:rPr>
          <w:color w:val="1F497D"/>
        </w:rPr>
        <w:sectPr w:rsidR="00CD7203" w:rsidSect="00250F3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D7203" w:rsidRDefault="00CD7203" w:rsidP="00DC306A">
      <w:pPr>
        <w:jc w:val="center"/>
      </w:pPr>
    </w:p>
    <w:sectPr w:rsidR="00CD7203" w:rsidSect="001F27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AA"/>
    <w:multiLevelType w:val="hybridMultilevel"/>
    <w:tmpl w:val="F4644CF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1D03A95"/>
    <w:multiLevelType w:val="multilevel"/>
    <w:tmpl w:val="83782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39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375F68CB"/>
    <w:multiLevelType w:val="hybridMultilevel"/>
    <w:tmpl w:val="E6B43D82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">
    <w:nsid w:val="38874D54"/>
    <w:multiLevelType w:val="hybridMultilevel"/>
    <w:tmpl w:val="23D8713E"/>
    <w:lvl w:ilvl="0" w:tplc="2158A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6D6D26"/>
    <w:multiLevelType w:val="hybridMultilevel"/>
    <w:tmpl w:val="A784DC98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63"/>
        </w:tabs>
        <w:ind w:left="286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5">
    <w:nsid w:val="4C9C5322"/>
    <w:multiLevelType w:val="hybridMultilevel"/>
    <w:tmpl w:val="0C28C90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FE308F1"/>
    <w:multiLevelType w:val="hybridMultilevel"/>
    <w:tmpl w:val="AF806F96"/>
    <w:lvl w:ilvl="0" w:tplc="A6D6EB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77A330C"/>
    <w:multiLevelType w:val="multilevel"/>
    <w:tmpl w:val="22323C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58FB53FD"/>
    <w:multiLevelType w:val="hybridMultilevel"/>
    <w:tmpl w:val="D90EAD62"/>
    <w:lvl w:ilvl="0" w:tplc="3FC00652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9">
    <w:nsid w:val="5965390C"/>
    <w:multiLevelType w:val="hybridMultilevel"/>
    <w:tmpl w:val="99421308"/>
    <w:lvl w:ilvl="0" w:tplc="9078D0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6C5C4B38"/>
    <w:multiLevelType w:val="hybridMultilevel"/>
    <w:tmpl w:val="D566275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0E"/>
    <w:rsid w:val="000148C5"/>
    <w:rsid w:val="000632F7"/>
    <w:rsid w:val="00072432"/>
    <w:rsid w:val="00094CFD"/>
    <w:rsid w:val="00095163"/>
    <w:rsid w:val="0009764F"/>
    <w:rsid w:val="000A2BE5"/>
    <w:rsid w:val="000B05F0"/>
    <w:rsid w:val="000B629E"/>
    <w:rsid w:val="000B6D06"/>
    <w:rsid w:val="000C0DCF"/>
    <w:rsid w:val="000E5A26"/>
    <w:rsid w:val="000F3F06"/>
    <w:rsid w:val="000F5C2E"/>
    <w:rsid w:val="00112A8D"/>
    <w:rsid w:val="00112F11"/>
    <w:rsid w:val="001170FC"/>
    <w:rsid w:val="001243D4"/>
    <w:rsid w:val="0012583F"/>
    <w:rsid w:val="0013302D"/>
    <w:rsid w:val="00133553"/>
    <w:rsid w:val="001336C6"/>
    <w:rsid w:val="00143932"/>
    <w:rsid w:val="001603D6"/>
    <w:rsid w:val="001605A9"/>
    <w:rsid w:val="001637BF"/>
    <w:rsid w:val="00174E15"/>
    <w:rsid w:val="00174EB5"/>
    <w:rsid w:val="00177E01"/>
    <w:rsid w:val="00187294"/>
    <w:rsid w:val="001A1DE8"/>
    <w:rsid w:val="001A210F"/>
    <w:rsid w:val="001A405F"/>
    <w:rsid w:val="001B7AB7"/>
    <w:rsid w:val="001C7AB9"/>
    <w:rsid w:val="001D2875"/>
    <w:rsid w:val="001D78C8"/>
    <w:rsid w:val="001F27CE"/>
    <w:rsid w:val="001F4F38"/>
    <w:rsid w:val="0020502A"/>
    <w:rsid w:val="00217134"/>
    <w:rsid w:val="002213C7"/>
    <w:rsid w:val="00224CAC"/>
    <w:rsid w:val="00237CEA"/>
    <w:rsid w:val="00246A0C"/>
    <w:rsid w:val="00247CE5"/>
    <w:rsid w:val="00250F35"/>
    <w:rsid w:val="00260179"/>
    <w:rsid w:val="00262C1D"/>
    <w:rsid w:val="00287553"/>
    <w:rsid w:val="002A175D"/>
    <w:rsid w:val="002A2390"/>
    <w:rsid w:val="002A39E7"/>
    <w:rsid w:val="002F6718"/>
    <w:rsid w:val="002F720E"/>
    <w:rsid w:val="003450B4"/>
    <w:rsid w:val="00346DFB"/>
    <w:rsid w:val="00360BCB"/>
    <w:rsid w:val="00362256"/>
    <w:rsid w:val="00363FA0"/>
    <w:rsid w:val="003661F3"/>
    <w:rsid w:val="0036660E"/>
    <w:rsid w:val="00380072"/>
    <w:rsid w:val="00380A19"/>
    <w:rsid w:val="00394E92"/>
    <w:rsid w:val="003A0ED7"/>
    <w:rsid w:val="003B0E04"/>
    <w:rsid w:val="003B62DE"/>
    <w:rsid w:val="003B7576"/>
    <w:rsid w:val="003C3DBD"/>
    <w:rsid w:val="003F04BE"/>
    <w:rsid w:val="003F360C"/>
    <w:rsid w:val="003F5BC6"/>
    <w:rsid w:val="00402D4A"/>
    <w:rsid w:val="00415F35"/>
    <w:rsid w:val="0042385E"/>
    <w:rsid w:val="004260E2"/>
    <w:rsid w:val="00433680"/>
    <w:rsid w:val="00440223"/>
    <w:rsid w:val="00443C19"/>
    <w:rsid w:val="00462D5D"/>
    <w:rsid w:val="00464DE7"/>
    <w:rsid w:val="0047255B"/>
    <w:rsid w:val="00472A85"/>
    <w:rsid w:val="004776E9"/>
    <w:rsid w:val="00485740"/>
    <w:rsid w:val="00490023"/>
    <w:rsid w:val="0049239D"/>
    <w:rsid w:val="00493A55"/>
    <w:rsid w:val="004C1EF4"/>
    <w:rsid w:val="004C2271"/>
    <w:rsid w:val="004D6C62"/>
    <w:rsid w:val="004D74B6"/>
    <w:rsid w:val="004E122F"/>
    <w:rsid w:val="004F4861"/>
    <w:rsid w:val="004F6B44"/>
    <w:rsid w:val="00503FF7"/>
    <w:rsid w:val="00515829"/>
    <w:rsid w:val="00522EA5"/>
    <w:rsid w:val="00525B5C"/>
    <w:rsid w:val="0053355C"/>
    <w:rsid w:val="00554C80"/>
    <w:rsid w:val="00560D4C"/>
    <w:rsid w:val="00563045"/>
    <w:rsid w:val="00580254"/>
    <w:rsid w:val="00591F1C"/>
    <w:rsid w:val="00594F7E"/>
    <w:rsid w:val="005B6209"/>
    <w:rsid w:val="005C057D"/>
    <w:rsid w:val="005C3797"/>
    <w:rsid w:val="005C4DAC"/>
    <w:rsid w:val="005D049B"/>
    <w:rsid w:val="005D067F"/>
    <w:rsid w:val="005D2DA4"/>
    <w:rsid w:val="005F378D"/>
    <w:rsid w:val="005F4F3D"/>
    <w:rsid w:val="005F7A48"/>
    <w:rsid w:val="0060171B"/>
    <w:rsid w:val="00613D2E"/>
    <w:rsid w:val="006352CD"/>
    <w:rsid w:val="00646104"/>
    <w:rsid w:val="006559F6"/>
    <w:rsid w:val="00664B79"/>
    <w:rsid w:val="00680382"/>
    <w:rsid w:val="00696D84"/>
    <w:rsid w:val="006C1516"/>
    <w:rsid w:val="006C4792"/>
    <w:rsid w:val="006C52E8"/>
    <w:rsid w:val="006D3F22"/>
    <w:rsid w:val="006F3473"/>
    <w:rsid w:val="006F5B23"/>
    <w:rsid w:val="0070326D"/>
    <w:rsid w:val="00705569"/>
    <w:rsid w:val="00705DED"/>
    <w:rsid w:val="00706DC1"/>
    <w:rsid w:val="00732B5E"/>
    <w:rsid w:val="00735CEF"/>
    <w:rsid w:val="00740E01"/>
    <w:rsid w:val="007423A1"/>
    <w:rsid w:val="00754ACF"/>
    <w:rsid w:val="0075504E"/>
    <w:rsid w:val="0076637F"/>
    <w:rsid w:val="00771609"/>
    <w:rsid w:val="00784EB3"/>
    <w:rsid w:val="00790FB6"/>
    <w:rsid w:val="00792FF6"/>
    <w:rsid w:val="007A31E0"/>
    <w:rsid w:val="007A7EAE"/>
    <w:rsid w:val="007B69A7"/>
    <w:rsid w:val="007C203A"/>
    <w:rsid w:val="007E16C6"/>
    <w:rsid w:val="007F25D3"/>
    <w:rsid w:val="00803176"/>
    <w:rsid w:val="00813AC1"/>
    <w:rsid w:val="00823C02"/>
    <w:rsid w:val="00832A28"/>
    <w:rsid w:val="00843216"/>
    <w:rsid w:val="00865C9A"/>
    <w:rsid w:val="008811C1"/>
    <w:rsid w:val="008A6B54"/>
    <w:rsid w:val="008B3059"/>
    <w:rsid w:val="008B55A4"/>
    <w:rsid w:val="008C57AF"/>
    <w:rsid w:val="008E0FB7"/>
    <w:rsid w:val="008E27F2"/>
    <w:rsid w:val="008F435E"/>
    <w:rsid w:val="0090006A"/>
    <w:rsid w:val="00900F24"/>
    <w:rsid w:val="00906042"/>
    <w:rsid w:val="00907AD4"/>
    <w:rsid w:val="00926C8B"/>
    <w:rsid w:val="00934999"/>
    <w:rsid w:val="009510AA"/>
    <w:rsid w:val="00953756"/>
    <w:rsid w:val="009631FC"/>
    <w:rsid w:val="00965F67"/>
    <w:rsid w:val="00980405"/>
    <w:rsid w:val="00992970"/>
    <w:rsid w:val="009A3102"/>
    <w:rsid w:val="009A36E4"/>
    <w:rsid w:val="009A40C4"/>
    <w:rsid w:val="009B24D8"/>
    <w:rsid w:val="009B34BA"/>
    <w:rsid w:val="009B7D43"/>
    <w:rsid w:val="009C10CD"/>
    <w:rsid w:val="009C367C"/>
    <w:rsid w:val="009E27D5"/>
    <w:rsid w:val="009E2AFB"/>
    <w:rsid w:val="009F0E69"/>
    <w:rsid w:val="00A220E0"/>
    <w:rsid w:val="00A23D56"/>
    <w:rsid w:val="00A326F3"/>
    <w:rsid w:val="00A347F8"/>
    <w:rsid w:val="00A62174"/>
    <w:rsid w:val="00A96222"/>
    <w:rsid w:val="00A96DAC"/>
    <w:rsid w:val="00A97F9E"/>
    <w:rsid w:val="00AB109F"/>
    <w:rsid w:val="00AB14A1"/>
    <w:rsid w:val="00AC2337"/>
    <w:rsid w:val="00AC2B6A"/>
    <w:rsid w:val="00AC6E99"/>
    <w:rsid w:val="00AC7D76"/>
    <w:rsid w:val="00AD036B"/>
    <w:rsid w:val="00AD1264"/>
    <w:rsid w:val="00AE4B92"/>
    <w:rsid w:val="00AE6A02"/>
    <w:rsid w:val="00B04C7B"/>
    <w:rsid w:val="00B04FD1"/>
    <w:rsid w:val="00B1410E"/>
    <w:rsid w:val="00B23B3A"/>
    <w:rsid w:val="00B253B4"/>
    <w:rsid w:val="00B26448"/>
    <w:rsid w:val="00B30F75"/>
    <w:rsid w:val="00B3433F"/>
    <w:rsid w:val="00B354FA"/>
    <w:rsid w:val="00B40612"/>
    <w:rsid w:val="00B45B3F"/>
    <w:rsid w:val="00B466BF"/>
    <w:rsid w:val="00B60BBE"/>
    <w:rsid w:val="00B70A45"/>
    <w:rsid w:val="00B82EAE"/>
    <w:rsid w:val="00B82EE3"/>
    <w:rsid w:val="00B87206"/>
    <w:rsid w:val="00B94BE1"/>
    <w:rsid w:val="00BA19BE"/>
    <w:rsid w:val="00BB2095"/>
    <w:rsid w:val="00BB42BD"/>
    <w:rsid w:val="00BB7F7B"/>
    <w:rsid w:val="00BC7B2F"/>
    <w:rsid w:val="00BD45AE"/>
    <w:rsid w:val="00BD4FFC"/>
    <w:rsid w:val="00BF5C7D"/>
    <w:rsid w:val="00C23F87"/>
    <w:rsid w:val="00C42D02"/>
    <w:rsid w:val="00C53D54"/>
    <w:rsid w:val="00C61696"/>
    <w:rsid w:val="00C653D5"/>
    <w:rsid w:val="00C669D5"/>
    <w:rsid w:val="00C72A37"/>
    <w:rsid w:val="00CA444B"/>
    <w:rsid w:val="00CA5136"/>
    <w:rsid w:val="00CA6E16"/>
    <w:rsid w:val="00CB029F"/>
    <w:rsid w:val="00CB0B68"/>
    <w:rsid w:val="00CC0C78"/>
    <w:rsid w:val="00CC2296"/>
    <w:rsid w:val="00CC50F5"/>
    <w:rsid w:val="00CC7F87"/>
    <w:rsid w:val="00CD6E22"/>
    <w:rsid w:val="00CD7203"/>
    <w:rsid w:val="00CE18F1"/>
    <w:rsid w:val="00CE57C9"/>
    <w:rsid w:val="00CE6461"/>
    <w:rsid w:val="00CF0A3D"/>
    <w:rsid w:val="00D10718"/>
    <w:rsid w:val="00D11F2E"/>
    <w:rsid w:val="00D1211E"/>
    <w:rsid w:val="00D1705E"/>
    <w:rsid w:val="00D2764C"/>
    <w:rsid w:val="00D332DE"/>
    <w:rsid w:val="00D51622"/>
    <w:rsid w:val="00D52A7C"/>
    <w:rsid w:val="00D52FFF"/>
    <w:rsid w:val="00D5341D"/>
    <w:rsid w:val="00D67249"/>
    <w:rsid w:val="00D83C81"/>
    <w:rsid w:val="00DB743E"/>
    <w:rsid w:val="00DC306A"/>
    <w:rsid w:val="00DC44E0"/>
    <w:rsid w:val="00DD0725"/>
    <w:rsid w:val="00DD7A2B"/>
    <w:rsid w:val="00DE6205"/>
    <w:rsid w:val="00DF0869"/>
    <w:rsid w:val="00DF2DF3"/>
    <w:rsid w:val="00DF529D"/>
    <w:rsid w:val="00E03F46"/>
    <w:rsid w:val="00E16258"/>
    <w:rsid w:val="00E2040A"/>
    <w:rsid w:val="00E24B8E"/>
    <w:rsid w:val="00E27823"/>
    <w:rsid w:val="00E3185B"/>
    <w:rsid w:val="00E40747"/>
    <w:rsid w:val="00E623A3"/>
    <w:rsid w:val="00E72C35"/>
    <w:rsid w:val="00E7760D"/>
    <w:rsid w:val="00E81CD9"/>
    <w:rsid w:val="00E90D1B"/>
    <w:rsid w:val="00EA185E"/>
    <w:rsid w:val="00EA274E"/>
    <w:rsid w:val="00EA54E9"/>
    <w:rsid w:val="00EB4387"/>
    <w:rsid w:val="00EB62E5"/>
    <w:rsid w:val="00EB770E"/>
    <w:rsid w:val="00EC0772"/>
    <w:rsid w:val="00EC2C16"/>
    <w:rsid w:val="00ED2368"/>
    <w:rsid w:val="00ED2492"/>
    <w:rsid w:val="00ED5E5E"/>
    <w:rsid w:val="00EE3CFB"/>
    <w:rsid w:val="00EF23A9"/>
    <w:rsid w:val="00EF2BAD"/>
    <w:rsid w:val="00EF3D34"/>
    <w:rsid w:val="00F0531E"/>
    <w:rsid w:val="00F127B1"/>
    <w:rsid w:val="00F27C08"/>
    <w:rsid w:val="00F317D1"/>
    <w:rsid w:val="00F3548C"/>
    <w:rsid w:val="00F464C8"/>
    <w:rsid w:val="00F7375F"/>
    <w:rsid w:val="00F85BEA"/>
    <w:rsid w:val="00FB4904"/>
    <w:rsid w:val="00FB5BCA"/>
    <w:rsid w:val="00FD15ED"/>
    <w:rsid w:val="00FD71EB"/>
    <w:rsid w:val="00FE0B68"/>
    <w:rsid w:val="00FE42D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1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811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811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1C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811C1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811C1"/>
    <w:rPr>
      <w:rFonts w:cs="Times New Roman"/>
      <w:b/>
      <w:bCs/>
      <w:sz w:val="27"/>
      <w:szCs w:val="27"/>
    </w:rPr>
  </w:style>
  <w:style w:type="paragraph" w:customStyle="1" w:styleId="FR1">
    <w:name w:val="FR1"/>
    <w:uiPriority w:val="99"/>
    <w:rsid w:val="001F27CE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EF3D3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D3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A62174"/>
    <w:pPr>
      <w:ind w:left="720"/>
      <w:contextualSpacing/>
    </w:pPr>
  </w:style>
  <w:style w:type="paragraph" w:styleId="a6">
    <w:name w:val="No Spacing"/>
    <w:uiPriority w:val="99"/>
    <w:qFormat/>
    <w:rsid w:val="00D1211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811C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811C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811C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D7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71EB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rsid w:val="00E03F4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E03F46"/>
    <w:rPr>
      <w:rFonts w:cs="Times New Roman"/>
      <w:b/>
      <w:bCs/>
    </w:rPr>
  </w:style>
  <w:style w:type="table" w:styleId="aa">
    <w:name w:val="Table Grid"/>
    <w:basedOn w:val="a1"/>
    <w:uiPriority w:val="99"/>
    <w:rsid w:val="00F1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1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811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811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1C1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8811C1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811C1"/>
    <w:rPr>
      <w:rFonts w:cs="Times New Roman"/>
      <w:b/>
      <w:bCs/>
      <w:sz w:val="27"/>
      <w:szCs w:val="27"/>
    </w:rPr>
  </w:style>
  <w:style w:type="paragraph" w:customStyle="1" w:styleId="FR1">
    <w:name w:val="FR1"/>
    <w:uiPriority w:val="99"/>
    <w:rsid w:val="001F27CE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EF3D3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D3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A62174"/>
    <w:pPr>
      <w:ind w:left="720"/>
      <w:contextualSpacing/>
    </w:pPr>
  </w:style>
  <w:style w:type="paragraph" w:styleId="a6">
    <w:name w:val="No Spacing"/>
    <w:uiPriority w:val="99"/>
    <w:qFormat/>
    <w:rsid w:val="00D1211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811C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811C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811C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D7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71EB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rsid w:val="00E03F46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E03F46"/>
    <w:rPr>
      <w:rFonts w:cs="Times New Roman"/>
      <w:b/>
      <w:bCs/>
    </w:rPr>
  </w:style>
  <w:style w:type="table" w:styleId="aa">
    <w:name w:val="Table Grid"/>
    <w:basedOn w:val="a1"/>
    <w:uiPriority w:val="99"/>
    <w:rsid w:val="00F1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AF29-27BF-469C-88CE-C7EF0ADF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1412</Words>
  <Characters>11430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Шестакова Татьяна Арефиевна</cp:lastModifiedBy>
  <cp:revision>4</cp:revision>
  <cp:lastPrinted>2017-10-23T11:50:00Z</cp:lastPrinted>
  <dcterms:created xsi:type="dcterms:W3CDTF">2017-10-23T11:48:00Z</dcterms:created>
  <dcterms:modified xsi:type="dcterms:W3CDTF">2017-10-23T11:53:00Z</dcterms:modified>
</cp:coreProperties>
</file>